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E9" w:rsidRDefault="00F618E9" w:rsidP="00F618E9">
      <w:pPr>
        <w:spacing w:after="0"/>
        <w:jc w:val="center"/>
        <w:rPr>
          <w:rFonts w:ascii="Verdana" w:hAnsi="Verdana" w:cs="Calibri"/>
          <w:b/>
          <w:sz w:val="40"/>
        </w:rPr>
      </w:pPr>
    </w:p>
    <w:p w:rsidR="00F618E9" w:rsidRDefault="00F618E9" w:rsidP="00F618E9">
      <w:pPr>
        <w:spacing w:after="0"/>
        <w:jc w:val="center"/>
        <w:rPr>
          <w:rFonts w:ascii="Verdana" w:hAnsi="Verdana" w:cs="Calibri"/>
          <w:b/>
          <w:sz w:val="40"/>
        </w:rPr>
      </w:pPr>
    </w:p>
    <w:p w:rsidR="00F618E9" w:rsidRDefault="00F618E9" w:rsidP="00F618E9">
      <w:pPr>
        <w:spacing w:after="0"/>
        <w:jc w:val="center"/>
        <w:rPr>
          <w:rFonts w:ascii="Verdana" w:hAnsi="Verdana" w:cs="Calibri"/>
          <w:b/>
          <w:sz w:val="40"/>
        </w:rPr>
      </w:pPr>
      <w:r>
        <w:rPr>
          <w:rFonts w:ascii="Verdana" w:hAnsi="Verdana" w:cs="Calibri"/>
          <w:b/>
          <w:sz w:val="40"/>
        </w:rPr>
        <w:t>Caderno de Encargos</w:t>
      </w:r>
    </w:p>
    <w:p w:rsidR="00F618E9" w:rsidRDefault="00F618E9" w:rsidP="00F618E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</w:rPr>
      </w:pPr>
    </w:p>
    <w:p w:rsidR="00F618E9" w:rsidRDefault="00F618E9" w:rsidP="00F618E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3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27"/>
        <w:gridCol w:w="7704"/>
      </w:tblGrid>
      <w:tr w:rsidR="00F618E9" w:rsidTr="00F618E9"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/>
              </w:rPr>
            </w:pPr>
          </w:p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/>
              </w:rPr>
              <w:t>Procedimento:</w:t>
            </w:r>
          </w:p>
        </w:tc>
        <w:tc>
          <w:tcPr>
            <w:tcW w:w="7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18E9" w:rsidRDefault="00F618E9" w:rsidP="00F618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Calibri"/>
              </w:rPr>
            </w:pPr>
          </w:p>
          <w:p w:rsidR="00F618E9" w:rsidRDefault="00F618E9" w:rsidP="00F618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Decreto-Lei n.º 280/2007, de 7 de agosto</w:t>
            </w:r>
          </w:p>
          <w:p w:rsidR="00F618E9" w:rsidRDefault="00F618E9" w:rsidP="00F618E9">
            <w:pPr>
              <w:spacing w:after="0" w:line="360" w:lineRule="auto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/>
              </w:rPr>
              <w:t>Com as alterações introduzidas pela: </w:t>
            </w:r>
          </w:p>
          <w:p w:rsidR="00F618E9" w:rsidRDefault="00F618E9" w:rsidP="00F618E9">
            <w:pPr>
              <w:spacing w:after="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Lei n.º 55-A/2010</w:t>
            </w:r>
            <w:r w:rsidR="009A64E8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, de 31 de dezembro, pela Lei n.º 64-B/2011 de 30 de dezembro, pela Lei n.º 66-B/2012, de 31 de dezembro, pelo Decreto-Lei n.º 36/2013, de 11 de março, pela Lei n.º 83-C/2013, de 31 de dezembro, e pela Lei n.º 82-B/2014, de 31 de dezembro.</w:t>
            </w:r>
          </w:p>
          <w:p w:rsidR="00F618E9" w:rsidRDefault="00F618E9" w:rsidP="00F618E9">
            <w:pPr>
              <w:spacing w:after="0" w:line="360" w:lineRule="auto"/>
              <w:jc w:val="both"/>
              <w:rPr>
                <w:rFonts w:ascii="Verdana" w:hAnsi="Verdana" w:cs="Calibri"/>
                <w:b/>
              </w:rPr>
            </w:pPr>
          </w:p>
        </w:tc>
      </w:tr>
      <w:tr w:rsidR="00F618E9" w:rsidTr="00F618E9"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/>
              </w:rPr>
            </w:pPr>
          </w:p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/>
              </w:rPr>
              <w:t>Preço Base:</w:t>
            </w:r>
          </w:p>
        </w:tc>
        <w:tc>
          <w:tcPr>
            <w:tcW w:w="7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 w:cs="Calibri"/>
                <w:i/>
                <w:color w:val="0D0D0D"/>
              </w:rPr>
            </w:pPr>
          </w:p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 w:cs="Calibri"/>
                <w:i/>
                <w:color w:val="0D0D0D"/>
              </w:rPr>
            </w:pPr>
            <w:r>
              <w:rPr>
                <w:rFonts w:ascii="Verdana" w:hAnsi="Verdana" w:cs="Calibri"/>
                <w:i/>
                <w:color w:val="0D0D0D"/>
              </w:rPr>
              <w:t>€ 990,00 (novecentos e noventa euros)</w:t>
            </w:r>
          </w:p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 w:cs="Calibri"/>
                <w:i/>
                <w:color w:val="0D0D0D"/>
              </w:rPr>
            </w:pPr>
          </w:p>
        </w:tc>
      </w:tr>
      <w:tr w:rsidR="00F618E9" w:rsidTr="00F618E9"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/>
              </w:rPr>
            </w:pPr>
          </w:p>
          <w:p w:rsidR="00F618E9" w:rsidRDefault="00F618E9" w:rsidP="00F618E9">
            <w:pPr>
              <w:pStyle w:val="SemEspaamento"/>
              <w:spacing w:line="360" w:lineRule="auto"/>
              <w:rPr>
                <w:rFonts w:ascii="Verdana" w:hAnsi="Verdana" w:cs="Times New Roman"/>
              </w:rPr>
            </w:pPr>
            <w:r>
              <w:rPr>
                <w:rFonts w:ascii="Verdana" w:hAnsi="Verdana"/>
              </w:rPr>
              <w:t>Objeto Contratual:</w:t>
            </w:r>
          </w:p>
        </w:tc>
        <w:tc>
          <w:tcPr>
            <w:tcW w:w="7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8E9" w:rsidRDefault="00F618E9" w:rsidP="00F618E9">
            <w:pPr>
              <w:pStyle w:val="SemEspaamento"/>
              <w:spacing w:line="360" w:lineRule="auto"/>
              <w:jc w:val="both"/>
              <w:rPr>
                <w:rFonts w:ascii="Verdana" w:hAnsi="Verdana" w:cs="Calibri"/>
                <w:color w:val="000000"/>
              </w:rPr>
            </w:pPr>
          </w:p>
          <w:p w:rsidR="00F618E9" w:rsidRDefault="00F618E9" w:rsidP="00F618E9">
            <w:pPr>
              <w:pStyle w:val="SemEspaamento"/>
              <w:spacing w:line="360" w:lineRule="auto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Cessão de Exploração do Espaço Destinado ao Bar, Restaurante e Esplanada das Piscinas Municipais Descobertas, localizado junto da </w:t>
            </w:r>
            <w:r>
              <w:rPr>
                <w:rFonts w:ascii="Verdana" w:hAnsi="Verdana"/>
              </w:rPr>
              <w:t xml:space="preserve">Albufeira de </w:t>
            </w:r>
            <w:proofErr w:type="spellStart"/>
            <w:r>
              <w:rPr>
                <w:rFonts w:ascii="Verdana" w:hAnsi="Verdana"/>
              </w:rPr>
              <w:t>Fontelonga</w:t>
            </w:r>
            <w:proofErr w:type="spellEnd"/>
            <w:r>
              <w:rPr>
                <w:rFonts w:ascii="Verdana" w:hAnsi="Verdana"/>
              </w:rPr>
              <w:t>, concelho de Carrazeda de Ansiães</w:t>
            </w:r>
          </w:p>
          <w:p w:rsidR="00F618E9" w:rsidRDefault="00F618E9" w:rsidP="00F618E9">
            <w:pPr>
              <w:spacing w:after="0" w:line="360" w:lineRule="auto"/>
              <w:jc w:val="both"/>
              <w:rPr>
                <w:rFonts w:ascii="Verdana" w:hAnsi="Verdana"/>
              </w:rPr>
            </w:pPr>
          </w:p>
        </w:tc>
      </w:tr>
    </w:tbl>
    <w:p w:rsidR="00F618E9" w:rsidRDefault="00F618E9" w:rsidP="00F618E9">
      <w:pPr>
        <w:pStyle w:val="SemEspaamento"/>
        <w:spacing w:line="360" w:lineRule="auto"/>
        <w:jc w:val="right"/>
        <w:rPr>
          <w:rFonts w:ascii="Verdana" w:hAnsi="Verdana" w:cs="Calibri"/>
        </w:rPr>
      </w:pPr>
      <w:r>
        <w:rPr>
          <w:rFonts w:ascii="Verdana" w:hAnsi="Verdana" w:cs="Calibri"/>
        </w:rPr>
        <w:t>Rua Jerónimo Barbosa, n.º 118</w:t>
      </w:r>
    </w:p>
    <w:p w:rsidR="00F618E9" w:rsidRDefault="00F618E9" w:rsidP="00F618E9">
      <w:pPr>
        <w:pStyle w:val="SemEspaamento"/>
        <w:spacing w:line="360" w:lineRule="auto"/>
        <w:jc w:val="right"/>
        <w:rPr>
          <w:rFonts w:ascii="Verdana" w:hAnsi="Verdana" w:cs="Calibri"/>
        </w:rPr>
      </w:pPr>
      <w:r>
        <w:rPr>
          <w:rFonts w:ascii="Verdana" w:hAnsi="Verdana" w:cs="Calibri"/>
        </w:rPr>
        <w:t xml:space="preserve">5140 – 077 Carrazeda de Ansiães </w:t>
      </w:r>
    </w:p>
    <w:p w:rsidR="00F618E9" w:rsidRDefault="00F618E9" w:rsidP="00F618E9">
      <w:pPr>
        <w:pStyle w:val="SemEspaamento"/>
        <w:spacing w:line="360" w:lineRule="auto"/>
        <w:jc w:val="right"/>
        <w:rPr>
          <w:rFonts w:ascii="Verdana" w:hAnsi="Verdana" w:cs="Calibri"/>
        </w:rPr>
      </w:pPr>
      <w:r>
        <w:rPr>
          <w:rFonts w:ascii="Verdana" w:hAnsi="Verdana" w:cs="Calibri"/>
        </w:rPr>
        <w:t xml:space="preserve">Tel. 278 610 200                                                        </w:t>
      </w:r>
    </w:p>
    <w:p w:rsidR="00F618E9" w:rsidRDefault="00F618E9" w:rsidP="00F618E9">
      <w:pPr>
        <w:pStyle w:val="SemEspaamento"/>
        <w:spacing w:line="360" w:lineRule="auto"/>
        <w:jc w:val="right"/>
        <w:rPr>
          <w:rFonts w:ascii="Verdana" w:hAnsi="Verdana" w:cs="Calibri"/>
        </w:rPr>
      </w:pPr>
      <w:r>
        <w:rPr>
          <w:rFonts w:ascii="Verdana" w:hAnsi="Verdana" w:cs="Calibri"/>
        </w:rPr>
        <w:t>Correio eletrónico: geral@cmca.pt</w:t>
      </w:r>
    </w:p>
    <w:p w:rsidR="00F618E9" w:rsidRDefault="00F618E9" w:rsidP="00F618E9">
      <w:pPr>
        <w:pStyle w:val="SemEspaamento"/>
        <w:rPr>
          <w:rFonts w:ascii="Verdana" w:hAnsi="Verdana" w:cs="Calibri"/>
        </w:rPr>
      </w:pPr>
    </w:p>
    <w:p w:rsidR="00F618E9" w:rsidRDefault="00F618E9" w:rsidP="00F618E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:rsidR="00F618E9" w:rsidRDefault="00F618E9" w:rsidP="00F618E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:rsidR="00F618E9" w:rsidRDefault="00D04D89" w:rsidP="00F618E9">
      <w:pPr>
        <w:spacing w:after="0"/>
        <w:jc w:val="right"/>
        <w:rPr>
          <w:rFonts w:ascii="Verdana" w:hAnsi="Verdana" w:cs="Calibri"/>
        </w:rPr>
      </w:pPr>
      <w:r>
        <w:rPr>
          <w:rFonts w:ascii="Verdana" w:hAnsi="Verdana" w:cs="Calibri"/>
        </w:rPr>
        <w:t>março</w:t>
      </w:r>
      <w:bookmarkStart w:id="0" w:name="_GoBack"/>
      <w:bookmarkEnd w:id="0"/>
      <w:r w:rsidR="00A8428F">
        <w:rPr>
          <w:rFonts w:ascii="Verdana" w:hAnsi="Verdana" w:cs="Calibri"/>
        </w:rPr>
        <w:t xml:space="preserve"> de 2026</w:t>
      </w:r>
      <w:r w:rsidR="00F618E9">
        <w:rPr>
          <w:rFonts w:ascii="Verdana" w:hAnsi="Verdana" w:cs="Calibri"/>
        </w:rPr>
        <w:br w:type="page"/>
      </w:r>
    </w:p>
    <w:p w:rsidR="00F618E9" w:rsidRDefault="00F618E9" w:rsidP="00F618E9">
      <w:pPr>
        <w:spacing w:after="0"/>
        <w:rPr>
          <w:rFonts w:ascii="Verdana" w:hAnsi="Verdana" w:cs="Calibri"/>
        </w:rPr>
      </w:pPr>
      <w:r>
        <w:rPr>
          <w:rFonts w:ascii="Verdana" w:hAnsi="Verdana" w:cs="Calibri"/>
        </w:rPr>
        <w:lastRenderedPageBreak/>
        <w:t>ÍNDICE</w:t>
      </w:r>
    </w:p>
    <w:p w:rsidR="00F618E9" w:rsidRDefault="00F618E9" w:rsidP="00F618E9">
      <w:pPr>
        <w:spacing w:after="0"/>
        <w:ind w:left="720"/>
        <w:rPr>
          <w:rFonts w:ascii="Verdana" w:hAnsi="Verdana" w:cs="Calibri"/>
        </w:rPr>
      </w:pP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1.º - Objeto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2.º - Duração da exploração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3.º - Transmissão da concessão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4.º - Horário de funcionamento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5.º - Base de licitação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6.º - Limpeza e utilização das instalações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7.º - Poderes e deveres do explorador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8.º - Contrapartida mensal / renda de exploração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9.º - Fiscalização da exploração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10.º - Rescisão da exploração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11.º - Resolução da concessão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12.º - Cessão da posição contratual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13.º - Direito de reversão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14.º - Caducidade da exploração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15.º - Termo da exploração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16.º - Caução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17.º- Responsabilidade Civil – Seguros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18.º - Encargos e benfeitorias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19.º - Direito subsidiário</w:t>
      </w:r>
    </w:p>
    <w:p w:rsidR="00F618E9" w:rsidRDefault="00F618E9" w:rsidP="00F618E9">
      <w:pPr>
        <w:spacing w:after="0" w:line="480" w:lineRule="auto"/>
        <w:ind w:left="708"/>
        <w:rPr>
          <w:rFonts w:ascii="Verdana" w:hAnsi="Verdana" w:cs="Calibri"/>
        </w:rPr>
      </w:pPr>
      <w:r>
        <w:rPr>
          <w:rFonts w:ascii="Verdana" w:hAnsi="Verdana" w:cs="Calibri"/>
        </w:rPr>
        <w:t>Artigo 20.º - Interpretação do contrato</w:t>
      </w:r>
    </w:p>
    <w:p w:rsidR="00F618E9" w:rsidRDefault="00F618E9" w:rsidP="00F618E9">
      <w:pPr>
        <w:spacing w:after="0"/>
        <w:jc w:val="center"/>
        <w:rPr>
          <w:rFonts w:ascii="Verdana" w:hAnsi="Verdana" w:cs="Calibri"/>
        </w:rPr>
      </w:pPr>
      <w:r>
        <w:rPr>
          <w:rFonts w:ascii="Verdana" w:hAnsi="Verdana" w:cs="Calibri"/>
        </w:rPr>
        <w:br w:type="page"/>
      </w:r>
    </w:p>
    <w:p w:rsidR="00F618E9" w:rsidRDefault="00F618E9" w:rsidP="00F618E9">
      <w:pPr>
        <w:spacing w:after="0"/>
        <w:jc w:val="center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lastRenderedPageBreak/>
        <w:t>CADERNO DE ENCARGOS</w:t>
      </w:r>
    </w:p>
    <w:p w:rsidR="00F618E9" w:rsidRDefault="00F618E9" w:rsidP="00F618E9">
      <w:pPr>
        <w:spacing w:after="0"/>
        <w:jc w:val="center"/>
        <w:rPr>
          <w:rFonts w:ascii="Verdana" w:hAnsi="Verdana" w:cs="Calibri"/>
          <w:sz w:val="12"/>
        </w:rPr>
      </w:pPr>
    </w:p>
    <w:p w:rsid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Artigo 1.º</w:t>
      </w:r>
    </w:p>
    <w:p w:rsid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>
        <w:rPr>
          <w:rFonts w:ascii="Verdana" w:hAnsi="Verdana" w:cs="Calibri"/>
        </w:rPr>
        <w:t>(Objeto)</w:t>
      </w:r>
    </w:p>
    <w:p w:rsidR="00F618E9" w:rsidRDefault="00F618E9" w:rsidP="00F618E9">
      <w:pPr>
        <w:pStyle w:val="Default"/>
        <w:numPr>
          <w:ilvl w:val="0"/>
          <w:numId w:val="17"/>
        </w:numPr>
        <w:spacing w:line="360" w:lineRule="auto"/>
        <w:ind w:left="473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 presente Caderno de Encargos compreende as cláusulas a incluir no contrato a celebrar na sequência do procedimento pré-contratual que tem por objeto principal a</w:t>
      </w:r>
      <w:r>
        <w:rPr>
          <w:rFonts w:ascii="Verdana" w:hAnsi="Verdana" w:cs="Calibri"/>
          <w:bCs/>
          <w:sz w:val="22"/>
          <w:szCs w:val="22"/>
        </w:rPr>
        <w:t xml:space="preserve"> </w:t>
      </w:r>
      <w:r>
        <w:rPr>
          <w:rFonts w:ascii="Verdana" w:hAnsi="Verdana" w:cs="Calibri"/>
          <w:b/>
          <w:i/>
          <w:sz w:val="22"/>
          <w:szCs w:val="22"/>
        </w:rPr>
        <w:t>“Cessão de Exploração do Espaço Destinado ao Bar, Restaurante e Esplanada das Piscinas Municipais Descobertas”</w:t>
      </w:r>
      <w:r>
        <w:rPr>
          <w:rFonts w:ascii="Verdana" w:hAnsi="Verdana" w:cs="Calibri"/>
          <w:sz w:val="22"/>
          <w:szCs w:val="22"/>
        </w:rPr>
        <w:t xml:space="preserve">, localizado junto da Albufeira de </w:t>
      </w:r>
      <w:proofErr w:type="spellStart"/>
      <w:r>
        <w:rPr>
          <w:rFonts w:ascii="Verdana" w:hAnsi="Verdana" w:cs="Calibri"/>
          <w:sz w:val="22"/>
          <w:szCs w:val="22"/>
        </w:rPr>
        <w:t>Fontelonga</w:t>
      </w:r>
      <w:proofErr w:type="spellEnd"/>
      <w:r>
        <w:rPr>
          <w:rFonts w:ascii="Verdana" w:hAnsi="Verdana" w:cs="Calibri"/>
          <w:sz w:val="22"/>
          <w:szCs w:val="22"/>
        </w:rPr>
        <w:t>, concelho de Carrazeda de Ansiães.</w:t>
      </w:r>
    </w:p>
    <w:p w:rsidR="00F618E9" w:rsidRDefault="00F618E9" w:rsidP="00F618E9">
      <w:pPr>
        <w:pStyle w:val="Default"/>
        <w:numPr>
          <w:ilvl w:val="0"/>
          <w:numId w:val="17"/>
        </w:numPr>
        <w:spacing w:line="360" w:lineRule="auto"/>
        <w:ind w:left="473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O Município de Carrazeda de Ansiães disponibiliza equipamento, conforme anexo I ao presente caderno de encargos, sendo que o encargo com a manutenção e funcionamento do mesmo é da responsabilidade do cessionário.</w:t>
      </w:r>
    </w:p>
    <w:p w:rsidR="00F618E9" w:rsidRPr="00F618E9" w:rsidRDefault="00F618E9" w:rsidP="00F618E9">
      <w:pPr>
        <w:spacing w:after="0"/>
        <w:jc w:val="center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2.º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(Duração da exploração)</w:t>
      </w:r>
    </w:p>
    <w:p w:rsidR="00F618E9" w:rsidRPr="00F618E9" w:rsidRDefault="00F618E9" w:rsidP="00F618E9">
      <w:pPr>
        <w:numPr>
          <w:ilvl w:val="0"/>
          <w:numId w:val="18"/>
        </w:numPr>
        <w:tabs>
          <w:tab w:val="left" w:pos="0"/>
        </w:tabs>
        <w:spacing w:after="0" w:line="360" w:lineRule="auto"/>
        <w:ind w:left="473"/>
        <w:contextualSpacing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A exploração terá início no mês de junho e o términus durante o mês de setembro, </w:t>
      </w:r>
      <w:r w:rsidRPr="00F618E9">
        <w:rPr>
          <w:rFonts w:ascii="Verdana" w:hAnsi="Verdana" w:cs="Calibri"/>
          <w:b/>
          <w:i/>
        </w:rPr>
        <w:t>em datas a definir pelo contraente público</w:t>
      </w:r>
      <w:r w:rsidRPr="00F618E9">
        <w:rPr>
          <w:rFonts w:ascii="Verdana" w:hAnsi="Verdana" w:cs="Calibri"/>
        </w:rPr>
        <w:t>.</w:t>
      </w:r>
    </w:p>
    <w:p w:rsidR="00F618E9" w:rsidRPr="00F618E9" w:rsidRDefault="00F618E9" w:rsidP="00F618E9">
      <w:pPr>
        <w:spacing w:after="0"/>
        <w:jc w:val="center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3.º</w:t>
      </w:r>
    </w:p>
    <w:p w:rsidR="00F618E9" w:rsidRPr="00F618E9" w:rsidRDefault="00F618E9" w:rsidP="00F618E9">
      <w:pPr>
        <w:pStyle w:val="Default"/>
        <w:spacing w:line="360" w:lineRule="auto"/>
        <w:jc w:val="center"/>
        <w:rPr>
          <w:rFonts w:ascii="Verdana" w:hAnsi="Verdana" w:cs="Calibri"/>
          <w:sz w:val="22"/>
          <w:szCs w:val="22"/>
        </w:rPr>
      </w:pPr>
      <w:r w:rsidRPr="00F618E9">
        <w:rPr>
          <w:rFonts w:ascii="Verdana" w:hAnsi="Verdana" w:cs="Calibri"/>
          <w:sz w:val="22"/>
          <w:szCs w:val="22"/>
        </w:rPr>
        <w:t>(Transmissão da Cessão de Exploração)</w:t>
      </w:r>
    </w:p>
    <w:p w:rsidR="00F618E9" w:rsidRPr="00F618E9" w:rsidRDefault="00F618E9" w:rsidP="00F618E9">
      <w:pPr>
        <w:pStyle w:val="PargrafodaLista"/>
        <w:numPr>
          <w:ilvl w:val="0"/>
          <w:numId w:val="19"/>
        </w:numPr>
        <w:spacing w:after="0" w:line="360" w:lineRule="auto"/>
        <w:ind w:left="567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A concessão de exploração não é transmissível, total ou parcialmente, nem mesmo por arrendamento, sem prévia autorização da entidade concedente, sendo nulos e de nenhum efeito os atos e contratos celebrados pelo cessionário com infração do disposto neste preceito.</w:t>
      </w:r>
    </w:p>
    <w:p w:rsidR="00F618E9" w:rsidRPr="00F618E9" w:rsidRDefault="00F618E9" w:rsidP="00F618E9">
      <w:pPr>
        <w:pStyle w:val="PargrafodaLista"/>
        <w:numPr>
          <w:ilvl w:val="0"/>
          <w:numId w:val="19"/>
        </w:numPr>
        <w:spacing w:after="0" w:line="360" w:lineRule="auto"/>
        <w:ind w:left="567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Poderá ser autorizada a transmissão da exploração de concessão de exploração do espaço nos seguintes casos:</w:t>
      </w:r>
    </w:p>
    <w:p w:rsidR="00F618E9" w:rsidRPr="00F618E9" w:rsidRDefault="00F618E9" w:rsidP="00F618E9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Transformação do titular em sociedade unipessoal, da qual o titular seja o único sócio.</w:t>
      </w:r>
    </w:p>
    <w:p w:rsidR="00F618E9" w:rsidRPr="00F618E9" w:rsidRDefault="00F618E9" w:rsidP="00F618E9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Por morte do titular, transmitindo-se aos herdeiros.</w:t>
      </w:r>
    </w:p>
    <w:p w:rsidR="00F618E9" w:rsidRPr="00F618E9" w:rsidRDefault="00F618E9" w:rsidP="00F618E9">
      <w:pPr>
        <w:pStyle w:val="PargrafodaLista"/>
        <w:numPr>
          <w:ilvl w:val="0"/>
          <w:numId w:val="19"/>
        </w:numPr>
        <w:spacing w:after="0" w:line="360" w:lineRule="auto"/>
        <w:ind w:left="567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A transmissão só poderá ocorrer até ao termo do prazo da concessão.</w:t>
      </w:r>
    </w:p>
    <w:p w:rsidR="00F618E9" w:rsidRPr="00F618E9" w:rsidRDefault="00F618E9" w:rsidP="00F618E9">
      <w:pPr>
        <w:spacing w:after="0"/>
        <w:jc w:val="both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4.º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(Horário de funcionamento)</w:t>
      </w:r>
    </w:p>
    <w:p w:rsidR="00F618E9" w:rsidRPr="00F618E9" w:rsidRDefault="00F618E9" w:rsidP="00F618E9">
      <w:pPr>
        <w:numPr>
          <w:ilvl w:val="0"/>
          <w:numId w:val="21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lastRenderedPageBreak/>
        <w:t>As instalações deverão funcionar todos os dias da semana, de acordo com o horário de funcionamento que lhe venha a ser aprovado.</w:t>
      </w:r>
    </w:p>
    <w:p w:rsidR="00F618E9" w:rsidRPr="00F618E9" w:rsidRDefault="00F618E9" w:rsidP="00F618E9">
      <w:pPr>
        <w:numPr>
          <w:ilvl w:val="0"/>
          <w:numId w:val="21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horário minimio de funcionamento é obrigatoriamente das (10h00 às 20h00), de segunda-feira a domingo, no período de funcionamento das Piscinas Municipais.</w:t>
      </w:r>
    </w:p>
    <w:p w:rsidR="00F618E9" w:rsidRPr="00F618E9" w:rsidRDefault="00F618E9" w:rsidP="00F618E9">
      <w:pPr>
        <w:numPr>
          <w:ilvl w:val="0"/>
          <w:numId w:val="21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não cumprimento do horário mínimo referido no ponto anterior, é justificação suficiente para a rescisão unilateral do contrato após primeiro aviso.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5.º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color w:val="0D0D0D"/>
        </w:rPr>
      </w:pPr>
      <w:r w:rsidRPr="00F618E9">
        <w:rPr>
          <w:rFonts w:ascii="Verdana" w:hAnsi="Verdana" w:cs="Calibri"/>
          <w:color w:val="0D0D0D"/>
        </w:rPr>
        <w:t>(Base de licitação)</w:t>
      </w:r>
    </w:p>
    <w:p w:rsidR="00F618E9" w:rsidRPr="00F618E9" w:rsidRDefault="00F618E9" w:rsidP="00F618E9">
      <w:pPr>
        <w:pStyle w:val="PargrafodaLista"/>
        <w:numPr>
          <w:ilvl w:val="0"/>
          <w:numId w:val="22"/>
        </w:numPr>
        <w:spacing w:after="0" w:line="360" w:lineRule="auto"/>
        <w:ind w:left="538" w:hanging="425"/>
        <w:jc w:val="both"/>
        <w:rPr>
          <w:rFonts w:ascii="Verdana" w:hAnsi="Verdana" w:cs="Calibri"/>
          <w:color w:val="0D0D0D"/>
        </w:rPr>
      </w:pPr>
      <w:r w:rsidRPr="00F618E9">
        <w:rPr>
          <w:rFonts w:ascii="Verdana" w:hAnsi="Verdana" w:cs="Calibri"/>
          <w:color w:val="0D0D0D"/>
        </w:rPr>
        <w:t xml:space="preserve">O valor mínimo mensal / renda de exploração é de € </w:t>
      </w:r>
      <w:r w:rsidRPr="00F618E9">
        <w:rPr>
          <w:rFonts w:ascii="Verdana" w:hAnsi="Verdana" w:cs="Calibri"/>
          <w:b/>
          <w:i/>
          <w:color w:val="0D0D0D"/>
        </w:rPr>
        <w:t>990,00 (novecentos e noventa euros).</w:t>
      </w:r>
    </w:p>
    <w:p w:rsidR="00F618E9" w:rsidRPr="00F618E9" w:rsidRDefault="00F618E9" w:rsidP="00F618E9">
      <w:pPr>
        <w:pStyle w:val="PargrafodaLista"/>
        <w:numPr>
          <w:ilvl w:val="0"/>
          <w:numId w:val="22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A adjudicação recairá sobre a proposta que apresente o valor mensal / renda de exploração mais elevado.</w:t>
      </w:r>
    </w:p>
    <w:p w:rsidR="00F618E9" w:rsidRPr="00F618E9" w:rsidRDefault="00F618E9" w:rsidP="00F618E9">
      <w:pPr>
        <w:pStyle w:val="PargrafodaLista"/>
        <w:numPr>
          <w:ilvl w:val="0"/>
          <w:numId w:val="22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Ao valor da renda acresce IVA à taxa legal em vigor.</w:t>
      </w:r>
    </w:p>
    <w:p w:rsidR="00F618E9" w:rsidRPr="00F618E9" w:rsidRDefault="00F618E9" w:rsidP="00F618E9">
      <w:pPr>
        <w:spacing w:after="0" w:line="360" w:lineRule="auto"/>
        <w:ind w:left="360"/>
        <w:jc w:val="both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6.º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(Limpeza e utilização das instalações)</w:t>
      </w:r>
    </w:p>
    <w:p w:rsidR="00F618E9" w:rsidRPr="00F618E9" w:rsidRDefault="00F618E9" w:rsidP="00F618E9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É da restrita responsabilidade do cessionário, a limpeza de todos os espaços referidos no n.º 1 do artigo 1.º.</w:t>
      </w:r>
    </w:p>
    <w:p w:rsidR="00F618E9" w:rsidRPr="00F618E9" w:rsidRDefault="00F618E9" w:rsidP="00F618E9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Não poderão ser instalados equipamentos que danifiquem, degradem ou adulterem as instalações sem prévia autorização do Município de Carrazeda de Ansiães.</w:t>
      </w:r>
    </w:p>
    <w:p w:rsidR="00F618E9" w:rsidRPr="00F618E9" w:rsidRDefault="00F618E9" w:rsidP="00F618E9">
      <w:pPr>
        <w:spacing w:after="0" w:line="360" w:lineRule="auto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7.º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(Poderes e deveres do cessionário)</w:t>
      </w:r>
    </w:p>
    <w:p w:rsidR="00F618E9" w:rsidRPr="00F618E9" w:rsidRDefault="00F618E9" w:rsidP="00F618E9">
      <w:pPr>
        <w:pStyle w:val="PargrafodaLista"/>
        <w:numPr>
          <w:ilvl w:val="0"/>
          <w:numId w:val="24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A situação jurídica do cessionário acha-se definida nas disposições constantes deste caderno de encargos. </w:t>
      </w:r>
    </w:p>
    <w:p w:rsidR="00F618E9" w:rsidRPr="00F618E9" w:rsidRDefault="00F618E9" w:rsidP="00F618E9">
      <w:pPr>
        <w:pStyle w:val="PargrafodaLista"/>
        <w:numPr>
          <w:ilvl w:val="0"/>
          <w:numId w:val="24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No ato da entrega será feita uma vistoria das instalações, ficando o cessionário responsável pela sua conservação.</w:t>
      </w:r>
    </w:p>
    <w:p w:rsidR="00F618E9" w:rsidRPr="00F618E9" w:rsidRDefault="00F618E9" w:rsidP="00F618E9">
      <w:pPr>
        <w:pStyle w:val="PargrafodaLista"/>
        <w:numPr>
          <w:ilvl w:val="0"/>
          <w:numId w:val="24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cessionário obriga-se a pagar, as contrapartidas de acordo com o artigo 8.º do presente caderno de encargos.</w:t>
      </w:r>
    </w:p>
    <w:p w:rsidR="00F618E9" w:rsidRPr="00F618E9" w:rsidRDefault="00F618E9" w:rsidP="00F618E9">
      <w:pPr>
        <w:pStyle w:val="PargrafodaLista"/>
        <w:numPr>
          <w:ilvl w:val="0"/>
          <w:numId w:val="24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O cessionário obriga-se a proceder à manutenção das instalações, de forma a subsistirem as condições em que as mesmas lhe foram entregues, bem como a </w:t>
      </w:r>
      <w:r w:rsidRPr="00F618E9">
        <w:rPr>
          <w:rFonts w:ascii="Verdana" w:hAnsi="Verdana" w:cs="Calibri"/>
        </w:rPr>
        <w:lastRenderedPageBreak/>
        <w:t>cumprir e fazer cumprir as disposições legais e regulamentares aplicáveis ao tipo de comércio que integra a área explorada.</w:t>
      </w:r>
    </w:p>
    <w:p w:rsidR="00F618E9" w:rsidRPr="00F618E9" w:rsidRDefault="00F618E9" w:rsidP="00F618E9">
      <w:pPr>
        <w:pStyle w:val="PargrafodaLista"/>
        <w:numPr>
          <w:ilvl w:val="0"/>
          <w:numId w:val="24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cessionário obriga-se ao pagamento de todas as despesas de natureza fiscal e policial, relativas ao funcionamento dos serviços, tais como licenças, contribuições e impostos, taxas, encargos sociais e outros idênticos ou inerentes, sendo que na fase de apresentação de proposta, deverá fazer prova de que se encontra coletado para a atividade respetiva.</w:t>
      </w:r>
    </w:p>
    <w:p w:rsidR="00F618E9" w:rsidRPr="00F618E9" w:rsidRDefault="00F618E9" w:rsidP="00F618E9">
      <w:pPr>
        <w:pStyle w:val="PargrafodaLista"/>
        <w:numPr>
          <w:ilvl w:val="0"/>
          <w:numId w:val="24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cessionário obriga-se ao pagamento de todas as despesas de gás, energia elétrica, água e telecomunicações, devendo ser feito nos contratos de fornecimento celebrados o averbamento do nome do cessionário.</w:t>
      </w:r>
    </w:p>
    <w:p w:rsidR="00F618E9" w:rsidRPr="00F618E9" w:rsidRDefault="00F618E9" w:rsidP="00F618E9">
      <w:pPr>
        <w:pStyle w:val="PargrafodaLista"/>
        <w:numPr>
          <w:ilvl w:val="0"/>
          <w:numId w:val="24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cessionário obriga-se a manter o estabelecimento em serviço durante todo o período da concessão de exploração do espaço destinado ao bar, restaurante e esplanada das piscinas municipais descobertas.</w:t>
      </w:r>
    </w:p>
    <w:p w:rsidR="00F618E9" w:rsidRPr="00F618E9" w:rsidRDefault="00F618E9" w:rsidP="00F618E9">
      <w:pPr>
        <w:pStyle w:val="PargrafodaLista"/>
        <w:spacing w:after="0" w:line="360" w:lineRule="auto"/>
        <w:ind w:left="567"/>
        <w:jc w:val="both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8.º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(Contrapartida mensal / renda de exploração)</w:t>
      </w:r>
    </w:p>
    <w:p w:rsidR="00F618E9" w:rsidRPr="00F618E9" w:rsidRDefault="00F618E9" w:rsidP="00F618E9">
      <w:pPr>
        <w:pStyle w:val="PargrafodaLista"/>
        <w:numPr>
          <w:ilvl w:val="0"/>
          <w:numId w:val="25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cessionário obriga-se ao pagamento de uma contrapartida mensal / renda da exploração, cujo valor base será o que resultar da adjudicação.</w:t>
      </w:r>
    </w:p>
    <w:p w:rsidR="00F618E9" w:rsidRPr="00F618E9" w:rsidRDefault="00F618E9" w:rsidP="00F618E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Nos meses de julho, agosto e setembro a renda mensal, terá de ser liquidada até ao dia 8. </w:t>
      </w:r>
    </w:p>
    <w:p w:rsidR="00F4191B" w:rsidRPr="00F4191B" w:rsidRDefault="00F618E9" w:rsidP="00F4191B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Nos meses de junho e setembro, a renda será calculada mediante a seguinte formula - RM:30=RD e </w:t>
      </w:r>
      <w:proofErr w:type="spellStart"/>
      <w:r w:rsidRPr="00F618E9">
        <w:rPr>
          <w:rFonts w:ascii="Verdana" w:hAnsi="Verdana" w:cs="Calibri"/>
        </w:rPr>
        <w:t>RDxNDF</w:t>
      </w:r>
      <w:proofErr w:type="spellEnd"/>
      <w:r w:rsidRPr="00F618E9">
        <w:rPr>
          <w:rFonts w:ascii="Verdana" w:hAnsi="Verdana" w:cs="Calibri"/>
        </w:rPr>
        <w:t>=, em que: RM (Renda Mensal), RD (Renda Dia) e NDF (Número de dias funcionamento).</w:t>
      </w:r>
    </w:p>
    <w:p w:rsidR="00F618E9" w:rsidRPr="00F618E9" w:rsidRDefault="00F618E9" w:rsidP="00F618E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A liquidação da renda do mês de junho, ocorrerá até ao terceiro dia após abertura.</w:t>
      </w:r>
    </w:p>
    <w:p w:rsidR="00F618E9" w:rsidRPr="00F618E9" w:rsidRDefault="00F618E9" w:rsidP="00F618E9">
      <w:pPr>
        <w:pStyle w:val="PargrafodaLista"/>
        <w:numPr>
          <w:ilvl w:val="0"/>
          <w:numId w:val="25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No caso de se verificar mora superior a 15 dias no pagamento das contrapartidas, o cessionário fica obrigado, para além do valor das contrapartidas em dívida, ao pagamento de um valor correspondente a 50% do valor da contrapartida mensal da concessão e, ainda, de juros moratórios à taxa legal em vigor.</w:t>
      </w:r>
    </w:p>
    <w:p w:rsidR="00F618E9" w:rsidRPr="00F618E9" w:rsidRDefault="00F618E9" w:rsidP="00F618E9">
      <w:pPr>
        <w:spacing w:after="0" w:line="360" w:lineRule="auto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9.º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(Fiscalização da exploração)</w:t>
      </w:r>
    </w:p>
    <w:p w:rsidR="00F618E9" w:rsidRPr="00F618E9" w:rsidRDefault="00F618E9" w:rsidP="00F618E9">
      <w:pPr>
        <w:pStyle w:val="PargrafodaLista"/>
        <w:numPr>
          <w:ilvl w:val="0"/>
          <w:numId w:val="27"/>
        </w:numPr>
        <w:spacing w:after="0" w:line="360" w:lineRule="auto"/>
        <w:ind w:left="538" w:hanging="425"/>
        <w:jc w:val="both"/>
        <w:rPr>
          <w:rFonts w:ascii="Verdana" w:hAnsi="Verdana" w:cs="Calibri"/>
          <w:b/>
        </w:rPr>
      </w:pPr>
      <w:r w:rsidRPr="00F618E9">
        <w:rPr>
          <w:rFonts w:ascii="Verdana" w:hAnsi="Verdana" w:cs="Calibri"/>
        </w:rPr>
        <w:lastRenderedPageBreak/>
        <w:t>É reservado ao Município de Carrazeda de Ansiães o direito de exercer inspeções ao estado de conservação das instalações, bem como fiscalizar a exploração e o cumprimento dos deveres do cessionário nos termos impostos por este caderno de encargos, cláusulas contratuais e a legislação aplicável em vigor, nomeadamente no que se refere:</w:t>
      </w:r>
    </w:p>
    <w:p w:rsidR="00F618E9" w:rsidRPr="00F618E9" w:rsidRDefault="00F618E9" w:rsidP="00F618E9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Verdana" w:hAnsi="Verdana" w:cs="Calibri"/>
          <w:b/>
        </w:rPr>
      </w:pPr>
      <w:r w:rsidRPr="00F618E9">
        <w:rPr>
          <w:rFonts w:ascii="Verdana" w:hAnsi="Verdana" w:cs="Calibri"/>
        </w:rPr>
        <w:t>À qualidade do serviço prestado na área explorada;</w:t>
      </w:r>
    </w:p>
    <w:p w:rsidR="00F618E9" w:rsidRPr="00F618E9" w:rsidRDefault="00F618E9" w:rsidP="00F618E9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Verdana" w:hAnsi="Verdana" w:cs="Calibri"/>
          <w:b/>
        </w:rPr>
      </w:pPr>
      <w:r w:rsidRPr="00F618E9">
        <w:rPr>
          <w:rFonts w:ascii="Verdana" w:hAnsi="Verdana" w:cs="Calibri"/>
        </w:rPr>
        <w:t>Ao estado de asseio e arranjo das respetivas instalações;</w:t>
      </w:r>
    </w:p>
    <w:p w:rsidR="00F618E9" w:rsidRPr="00F618E9" w:rsidRDefault="00F618E9" w:rsidP="00F618E9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Verdana" w:hAnsi="Verdana" w:cs="Calibri"/>
          <w:b/>
        </w:rPr>
      </w:pPr>
      <w:r w:rsidRPr="00F618E9">
        <w:rPr>
          <w:rFonts w:ascii="Verdana" w:hAnsi="Verdana" w:cs="Calibri"/>
        </w:rPr>
        <w:t>Às relações do cessionário e do seu pessoal com o público que devem ser corretas, atenciosas e delicadas;</w:t>
      </w:r>
    </w:p>
    <w:p w:rsidR="00F618E9" w:rsidRPr="00F618E9" w:rsidRDefault="00F618E9" w:rsidP="00F618E9">
      <w:pPr>
        <w:pStyle w:val="PargrafodaLista"/>
        <w:numPr>
          <w:ilvl w:val="0"/>
          <w:numId w:val="27"/>
        </w:numPr>
        <w:spacing w:after="0" w:line="360" w:lineRule="auto"/>
        <w:ind w:left="538" w:hanging="425"/>
        <w:jc w:val="both"/>
        <w:rPr>
          <w:rFonts w:ascii="Verdana" w:hAnsi="Verdana" w:cs="Calibri"/>
          <w:b/>
        </w:rPr>
      </w:pPr>
      <w:r w:rsidRPr="00F618E9">
        <w:rPr>
          <w:rFonts w:ascii="Verdana" w:hAnsi="Verdana" w:cs="Calibri"/>
        </w:rPr>
        <w:t>O Município de Carrazeda de Ansiães notificará o cessionário das deficiências verificadas, devendo aquele promover a sua rápida correção.</w:t>
      </w:r>
    </w:p>
    <w:p w:rsidR="00F618E9" w:rsidRPr="00F618E9" w:rsidRDefault="00F618E9" w:rsidP="00F618E9">
      <w:pPr>
        <w:pStyle w:val="PargrafodaLista"/>
        <w:numPr>
          <w:ilvl w:val="0"/>
          <w:numId w:val="27"/>
        </w:numPr>
        <w:spacing w:after="0" w:line="360" w:lineRule="auto"/>
        <w:ind w:left="538" w:hanging="425"/>
        <w:jc w:val="both"/>
        <w:rPr>
          <w:rFonts w:ascii="Verdana" w:hAnsi="Verdana" w:cs="Calibri"/>
          <w:b/>
        </w:rPr>
      </w:pPr>
      <w:r w:rsidRPr="00F618E9">
        <w:rPr>
          <w:rFonts w:ascii="Verdana" w:hAnsi="Verdana" w:cs="Calibri"/>
        </w:rPr>
        <w:t>A Câmara Municipal de Carrazeda de Ansiães reserva-se o direito de praticar, a todo o tempo e quando o julgar conveniente, todos e quaisquer atos de fiscalização atinentes à valoração e à apreciação do mérito da execução da exploração em apreço.</w:t>
      </w:r>
    </w:p>
    <w:p w:rsidR="00F618E9" w:rsidRPr="00F618E9" w:rsidRDefault="00F618E9" w:rsidP="00F618E9">
      <w:pPr>
        <w:pStyle w:val="PargrafodaLista"/>
        <w:spacing w:after="0" w:line="360" w:lineRule="auto"/>
        <w:ind w:left="0"/>
        <w:jc w:val="both"/>
        <w:rPr>
          <w:rFonts w:ascii="Verdana" w:hAnsi="Verdana" w:cs="Calibri"/>
          <w:b/>
        </w:rPr>
      </w:pPr>
      <w:r w:rsidRPr="00F618E9">
        <w:rPr>
          <w:rFonts w:ascii="Verdana" w:hAnsi="Verdana" w:cs="Calibri"/>
        </w:rPr>
        <w:t xml:space="preserve"> 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10.º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(Rescisão da exploração)</w:t>
      </w:r>
    </w:p>
    <w:p w:rsidR="00F618E9" w:rsidRPr="00F618E9" w:rsidRDefault="00F618E9" w:rsidP="00F618E9">
      <w:pPr>
        <w:pStyle w:val="PargrafodaLista"/>
        <w:numPr>
          <w:ilvl w:val="0"/>
          <w:numId w:val="29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O Município de Carrazeda de Ansiães reserva-se o direito de rescindir o contrato de exploração antes do seu termo, sempre que circunstâncias de interesse público o justifiquem, nos pressupostos normativos previstos na legislação aplicável ao presente procedimento. </w:t>
      </w:r>
    </w:p>
    <w:p w:rsidR="00F618E9" w:rsidRPr="00F618E9" w:rsidRDefault="00F618E9" w:rsidP="00F618E9">
      <w:pPr>
        <w:pStyle w:val="PargrafodaLista"/>
        <w:numPr>
          <w:ilvl w:val="0"/>
          <w:numId w:val="29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cessionário será notificado para retirar os bens móveis que lhe pertençam no máximo de 5 dias úteis, a contar da data da notificação.</w:t>
      </w:r>
    </w:p>
    <w:p w:rsidR="00F618E9" w:rsidRPr="00F618E9" w:rsidRDefault="00F618E9" w:rsidP="00F618E9">
      <w:pPr>
        <w:spacing w:after="0" w:line="360" w:lineRule="auto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11.º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(Resolução da cessão de exploração)</w:t>
      </w:r>
    </w:p>
    <w:p w:rsidR="00F618E9" w:rsidRPr="00F618E9" w:rsidRDefault="00F618E9" w:rsidP="00F618E9">
      <w:pPr>
        <w:pStyle w:val="PargrafodaLista"/>
        <w:numPr>
          <w:ilvl w:val="0"/>
          <w:numId w:val="30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Constituem causas legítimas de resolução da cessão de exploração:</w:t>
      </w:r>
    </w:p>
    <w:p w:rsidR="00F618E9" w:rsidRPr="00F618E9" w:rsidRDefault="00F618E9" w:rsidP="00F618E9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Transmissão da exploração para terceiros, sem autorização do Município de Carrazeda de Ansiães;</w:t>
      </w:r>
    </w:p>
    <w:p w:rsidR="00F618E9" w:rsidRPr="00F618E9" w:rsidRDefault="00F618E9" w:rsidP="00F618E9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Utilização das instalações para uso diferente da constante no contrato;</w:t>
      </w:r>
    </w:p>
    <w:p w:rsidR="00F618E9" w:rsidRPr="00F618E9" w:rsidRDefault="00F618E9" w:rsidP="00F618E9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lastRenderedPageBreak/>
        <w:t>Desobediência às instruções e recomendações emanadas do Município de Carrazeda de Ansiães, relativamente à conservação, segurança e serviços prestados ou das indicações da fiscalização.</w:t>
      </w:r>
    </w:p>
    <w:p w:rsidR="00F618E9" w:rsidRPr="00F618E9" w:rsidRDefault="00F618E9" w:rsidP="00F618E9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Falta de pagamento da contrapartida mensal da concessão por período superior a 1 (um) mês;</w:t>
      </w:r>
    </w:p>
    <w:p w:rsidR="00F618E9" w:rsidRPr="00F618E9" w:rsidRDefault="00F618E9" w:rsidP="00F618E9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Caso mantenha as instalações encerradas por 2 (dois) dias seguidos, sem motivos de força maior.</w:t>
      </w:r>
    </w:p>
    <w:p w:rsidR="00F618E9" w:rsidRPr="00F618E9" w:rsidRDefault="00F618E9" w:rsidP="00F618E9">
      <w:pPr>
        <w:pStyle w:val="PargrafodaLista"/>
        <w:numPr>
          <w:ilvl w:val="0"/>
          <w:numId w:val="30"/>
        </w:numPr>
        <w:spacing w:after="0" w:line="360" w:lineRule="auto"/>
        <w:ind w:left="538" w:hanging="425"/>
        <w:jc w:val="both"/>
        <w:rPr>
          <w:rFonts w:ascii="Verdana" w:hAnsi="Verdana" w:cs="Calibri"/>
          <w:b/>
        </w:rPr>
      </w:pPr>
      <w:r w:rsidRPr="00F618E9">
        <w:rPr>
          <w:rFonts w:ascii="Verdana" w:hAnsi="Verdana" w:cs="Calibri"/>
        </w:rPr>
        <w:t>Não é devida pelo concedente qualquer indemnização por motivo da resolução nos termos dos números anteriores, ficando ainda o cessionário responsável pelos prejuízos causados, de qualquer natureza, pelos quais responderá após avaliação e notificação efetuada pelo concedente.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12.º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(Cessão da posição contratual)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cessionário não poderá ceder a sua posição contratual ou qualquer dos direitos e obrigações decorrentes do contrato sem autorização da concedente.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13.º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(Direito de reversão)</w:t>
      </w:r>
    </w:p>
    <w:p w:rsidR="00F618E9" w:rsidRPr="00F618E9" w:rsidRDefault="00F618E9" w:rsidP="00F618E9">
      <w:pPr>
        <w:numPr>
          <w:ilvl w:val="0"/>
          <w:numId w:val="32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Percorrido o prazo da cessão de exploração outorgada, revertem a favor da Câmara Municipal de Carrazeda de Ansiães, todas as componentes, partes integrantes, obras e benfeitorias úteis, necessárias ou voluntárias realizadas no espaço concessionado, com exceção dos equipamentos a instalar pelo concedente.</w:t>
      </w:r>
    </w:p>
    <w:p w:rsidR="00F618E9" w:rsidRPr="00F618E9" w:rsidRDefault="00F618E9" w:rsidP="00F618E9">
      <w:pPr>
        <w:numPr>
          <w:ilvl w:val="0"/>
          <w:numId w:val="32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Exercido o direito de reversão, não poderá a cessionária alegar qualquer retenção, direito de indeminização ou enriquecimento sem causa. 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14.º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(Caducidade da exploração)</w:t>
      </w:r>
    </w:p>
    <w:p w:rsidR="00F618E9" w:rsidRPr="00F618E9" w:rsidRDefault="00F618E9" w:rsidP="00F618E9">
      <w:pPr>
        <w:pStyle w:val="PargrafodaLista"/>
        <w:numPr>
          <w:ilvl w:val="0"/>
          <w:numId w:val="33"/>
        </w:numPr>
        <w:spacing w:after="0" w:line="360" w:lineRule="auto"/>
        <w:ind w:left="538" w:hanging="425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A concessão caduca com a falência ou insolvência do cessionário;</w:t>
      </w:r>
    </w:p>
    <w:p w:rsidR="00F618E9" w:rsidRPr="00F618E9" w:rsidRDefault="00F618E9" w:rsidP="00F618E9">
      <w:pPr>
        <w:pStyle w:val="PargrafodaLista"/>
        <w:numPr>
          <w:ilvl w:val="0"/>
          <w:numId w:val="33"/>
        </w:numPr>
        <w:spacing w:after="0" w:line="360" w:lineRule="auto"/>
        <w:ind w:left="538" w:right="-40" w:hanging="425"/>
        <w:jc w:val="both"/>
        <w:rPr>
          <w:rFonts w:ascii="Verdana" w:hAnsi="Verdana" w:cs="Calibri"/>
          <w:bCs/>
        </w:rPr>
      </w:pPr>
      <w:r w:rsidRPr="00F618E9">
        <w:rPr>
          <w:rFonts w:ascii="Verdana" w:hAnsi="Verdana" w:cs="Calibri"/>
        </w:rPr>
        <w:t xml:space="preserve">Em caso de caducidade, o cessionário não tem direito a qualquer indemnização, nem a devolução da caução, nem o Município de Carrazeda de Ansiães assume </w:t>
      </w:r>
      <w:r w:rsidRPr="00F618E9">
        <w:rPr>
          <w:rFonts w:ascii="Verdana" w:hAnsi="Verdana" w:cs="Calibri"/>
        </w:rPr>
        <w:lastRenderedPageBreak/>
        <w:t>qualquer responsabilidade pelos débitos e obrigações do cessionário no âmbito da concessão do bar, restaurante e esplanada da piscina municipal descoberta.</w:t>
      </w:r>
      <w:r w:rsidRPr="00F618E9">
        <w:rPr>
          <w:rFonts w:ascii="Verdana" w:hAnsi="Verdana" w:cs="Calibri"/>
          <w:bCs/>
        </w:rPr>
        <w:t xml:space="preserve"> 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15.º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(Termo da exploração)</w:t>
      </w:r>
    </w:p>
    <w:p w:rsidR="00F618E9" w:rsidRPr="00F618E9" w:rsidRDefault="00F618E9" w:rsidP="00F618E9">
      <w:pPr>
        <w:pStyle w:val="PargrafodaLista"/>
        <w:numPr>
          <w:ilvl w:val="0"/>
          <w:numId w:val="34"/>
        </w:numPr>
        <w:spacing w:after="0" w:line="360" w:lineRule="auto"/>
        <w:ind w:left="473"/>
        <w:rPr>
          <w:rFonts w:ascii="Verdana" w:hAnsi="Verdana" w:cs="Calibri"/>
        </w:rPr>
      </w:pPr>
      <w:r w:rsidRPr="00F618E9">
        <w:rPr>
          <w:rFonts w:ascii="Verdana" w:hAnsi="Verdana" w:cs="Calibri"/>
        </w:rPr>
        <w:t>A concessão termina findo o prazo do contrato.</w:t>
      </w:r>
    </w:p>
    <w:p w:rsidR="00F618E9" w:rsidRPr="00F618E9" w:rsidRDefault="00F618E9" w:rsidP="00F618E9">
      <w:pPr>
        <w:pStyle w:val="PargrafodaLista"/>
        <w:numPr>
          <w:ilvl w:val="0"/>
          <w:numId w:val="34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A exploração termina sem encargos para o cessionário em caso de força maior, nomeadamente falta de recursos hídricos, que obrigue o concedente e encerrar as instalações.</w:t>
      </w:r>
    </w:p>
    <w:p w:rsidR="00F618E9" w:rsidRPr="00F618E9" w:rsidRDefault="00F618E9" w:rsidP="00F618E9">
      <w:pPr>
        <w:pStyle w:val="PargrafodaLista"/>
        <w:numPr>
          <w:ilvl w:val="0"/>
          <w:numId w:val="34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As instalações deverão ser devolvidas em bom estado de conservação, de tal modo que as deteriorações e prejuízos causados, por culpa do pessoal ou frequentadores, serão da inteira responsabilidade do cessionário, que terá de proceder às reparações e /ou substituições que se afigurem necessárias. 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16.º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(Caução)</w:t>
      </w:r>
    </w:p>
    <w:p w:rsidR="00F618E9" w:rsidRPr="00F618E9" w:rsidRDefault="00F618E9" w:rsidP="00F618E9">
      <w:pPr>
        <w:numPr>
          <w:ilvl w:val="0"/>
          <w:numId w:val="35"/>
        </w:numPr>
        <w:spacing w:after="0" w:line="360" w:lineRule="auto"/>
        <w:ind w:left="473"/>
        <w:jc w:val="both"/>
        <w:rPr>
          <w:rFonts w:ascii="Verdana" w:hAnsi="Verdana" w:cs="Calibri"/>
          <w:color w:val="000000"/>
        </w:rPr>
      </w:pPr>
      <w:r w:rsidRPr="00F618E9">
        <w:rPr>
          <w:rFonts w:ascii="Verdana" w:hAnsi="Verdana" w:cs="Calibri"/>
          <w:color w:val="000000"/>
        </w:rPr>
        <w:t>Para garantir o exato e pontual cumprimento das suas obrigações, o cessionário deve prestar uma caução no valor equivalente a um mês da renda proposta.</w:t>
      </w:r>
    </w:p>
    <w:p w:rsidR="00F618E9" w:rsidRPr="00F618E9" w:rsidRDefault="00F618E9" w:rsidP="00F618E9">
      <w:pPr>
        <w:numPr>
          <w:ilvl w:val="0"/>
          <w:numId w:val="35"/>
        </w:numPr>
        <w:spacing w:after="0" w:line="360" w:lineRule="auto"/>
        <w:ind w:left="473"/>
        <w:jc w:val="both"/>
        <w:rPr>
          <w:rFonts w:ascii="Verdana" w:hAnsi="Verdana" w:cs="Calibri"/>
          <w:color w:val="000000"/>
        </w:rPr>
      </w:pPr>
      <w:r w:rsidRPr="00F618E9">
        <w:rPr>
          <w:rFonts w:ascii="Verdana" w:hAnsi="Verdana" w:cs="Calibri"/>
          <w:color w:val="000000"/>
        </w:rPr>
        <w:t>A caução pode ser prestada por depósito em dinheiro ou garantia bancária ou seguro – caução, sendo efetuada obrigatoriamente antes da outorga contratual.</w:t>
      </w:r>
    </w:p>
    <w:p w:rsidR="00F618E9" w:rsidRPr="00F618E9" w:rsidRDefault="00F618E9" w:rsidP="00F618E9">
      <w:pPr>
        <w:numPr>
          <w:ilvl w:val="0"/>
          <w:numId w:val="35"/>
        </w:numPr>
        <w:spacing w:after="0" w:line="360" w:lineRule="auto"/>
        <w:ind w:left="473"/>
        <w:jc w:val="both"/>
        <w:rPr>
          <w:rFonts w:ascii="Verdana" w:hAnsi="Verdana" w:cs="Calibri"/>
          <w:color w:val="000000"/>
        </w:rPr>
      </w:pPr>
      <w:r w:rsidRPr="00F618E9">
        <w:rPr>
          <w:rFonts w:ascii="Verdana" w:hAnsi="Verdana" w:cs="Calibri"/>
          <w:color w:val="000000"/>
        </w:rPr>
        <w:t>O concedente pode considerar perdida a seu favor a caução prestada, independentemente de decisão judicial, nos casos de não cumprimento das obrigações legais, contratuais ou pré-contratuais pelo cessionário.</w:t>
      </w:r>
    </w:p>
    <w:p w:rsidR="00F618E9" w:rsidRPr="00F618E9" w:rsidRDefault="00F618E9" w:rsidP="00F618E9">
      <w:pPr>
        <w:spacing w:after="0" w:line="360" w:lineRule="auto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17.º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(Responsabilidade Civil - Seguros)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explorador efetuará os seguros exigidos por lei, nomeadamente:</w:t>
      </w:r>
    </w:p>
    <w:p w:rsidR="00F618E9" w:rsidRPr="00F618E9" w:rsidRDefault="00F618E9" w:rsidP="00F618E9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Seguro contra acidentes de trabalho de todo o pessoal;</w:t>
      </w:r>
    </w:p>
    <w:p w:rsidR="00F618E9" w:rsidRPr="00F618E9" w:rsidRDefault="00F618E9" w:rsidP="00F618E9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Correm por conta do cessionário todos os danos, prejuízos e/ou lucros cessantes, verificados na decorrência de factos ocorridos no espaço público concessionado, por via de responsabilidade civil contratual, extracontratual, subjetiva ou objetiva.</w:t>
      </w:r>
    </w:p>
    <w:p w:rsidR="00F618E9" w:rsidRPr="00F618E9" w:rsidRDefault="00F618E9" w:rsidP="00F618E9">
      <w:pPr>
        <w:spacing w:after="0" w:line="360" w:lineRule="auto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18.º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(Encargos e benfeitorias)</w:t>
      </w:r>
    </w:p>
    <w:p w:rsidR="00F618E9" w:rsidRPr="00F618E9" w:rsidRDefault="00F618E9" w:rsidP="00F618E9">
      <w:pPr>
        <w:numPr>
          <w:ilvl w:val="0"/>
          <w:numId w:val="37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As despesas resultantes da celebração do respetivo contrato são por conta do cessionário. </w:t>
      </w:r>
    </w:p>
    <w:p w:rsidR="00F618E9" w:rsidRPr="00F618E9" w:rsidRDefault="00F618E9" w:rsidP="00F618E9">
      <w:pPr>
        <w:numPr>
          <w:ilvl w:val="0"/>
          <w:numId w:val="37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O cessionário não poderá proceder a quaisquer obras ou benfeitorias sem prévia autorização da Câmara Municipal de Carrazeda de Ansiães.</w:t>
      </w:r>
    </w:p>
    <w:p w:rsidR="00F618E9" w:rsidRPr="00F618E9" w:rsidRDefault="00F618E9" w:rsidP="00F618E9">
      <w:pPr>
        <w:numPr>
          <w:ilvl w:val="0"/>
          <w:numId w:val="37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O incumprimento do número anterior constitui causa de rescisão unilateral do contrato, revertendo as benfeitorias para o imóvel, sem qualquer contrapartida para o cessionário. </w:t>
      </w:r>
    </w:p>
    <w:p w:rsidR="00F618E9" w:rsidRPr="00F618E9" w:rsidRDefault="00F618E9" w:rsidP="00F618E9">
      <w:pPr>
        <w:numPr>
          <w:ilvl w:val="0"/>
          <w:numId w:val="37"/>
        </w:numPr>
        <w:spacing w:after="0" w:line="360" w:lineRule="auto"/>
        <w:ind w:left="473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São da responsabilidade do cessionário todas as despesas com: </w:t>
      </w:r>
    </w:p>
    <w:p w:rsidR="00F618E9" w:rsidRPr="00F618E9" w:rsidRDefault="00F618E9" w:rsidP="00F618E9">
      <w:pPr>
        <w:numPr>
          <w:ilvl w:val="0"/>
          <w:numId w:val="38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Taxas de licenças ou autorizações administrativas inerentes ao funcionamento do estabelecimento;</w:t>
      </w:r>
    </w:p>
    <w:p w:rsidR="00F618E9" w:rsidRPr="00F618E9" w:rsidRDefault="00F618E9" w:rsidP="00F618E9">
      <w:pPr>
        <w:numPr>
          <w:ilvl w:val="0"/>
          <w:numId w:val="38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Multas, coimas ou outras penalidades decorrentes de infrações cometidas no âmbito do funcionamento do espaço concedido. 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19.º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(Direito subsidiário)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>Em tudo o que não esteja especialmente previsto nas presentes cláusulas jurídicas e administrativas, recorrer-se-á às leis e regulamentos administrativos em vigor, aos princípios gerais de direito administrativo, e na sua falta ou insuficiência, às disposições do direito civil.</w:t>
      </w:r>
    </w:p>
    <w:p w:rsidR="00F618E9" w:rsidRPr="00F618E9" w:rsidRDefault="00F618E9" w:rsidP="00F618E9">
      <w:pPr>
        <w:spacing w:after="0" w:line="360" w:lineRule="auto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Artigo 20.º</w:t>
      </w:r>
    </w:p>
    <w:p w:rsidR="00F618E9" w:rsidRPr="00F618E9" w:rsidRDefault="00F618E9" w:rsidP="00F618E9">
      <w:pPr>
        <w:spacing w:after="0" w:line="360" w:lineRule="auto"/>
        <w:jc w:val="center"/>
        <w:rPr>
          <w:rFonts w:ascii="Verdana" w:hAnsi="Verdana" w:cs="Calibri"/>
        </w:rPr>
      </w:pPr>
      <w:r w:rsidRPr="00F618E9">
        <w:rPr>
          <w:rFonts w:ascii="Verdana" w:hAnsi="Verdana" w:cs="Calibri"/>
        </w:rPr>
        <w:t>(Interpretação do contrato)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</w:rPr>
        <w:t xml:space="preserve">Os litígios emergentes da execução do contrato de concessão serão regulados pela legislação portuguesa em vigor e submetidos ao foro do Tribunal Administrativo de Mirandela, com expressa renúncia a qualquer outo. </w:t>
      </w:r>
    </w:p>
    <w:p w:rsidR="00F618E9" w:rsidRPr="00F618E9" w:rsidRDefault="00F618E9" w:rsidP="00F618E9">
      <w:pPr>
        <w:spacing w:after="0" w:line="360" w:lineRule="auto"/>
        <w:rPr>
          <w:rFonts w:ascii="Verdana" w:hAnsi="Verdana" w:cs="Calibri"/>
        </w:rPr>
      </w:pPr>
    </w:p>
    <w:p w:rsidR="00A8428F" w:rsidRDefault="00A8428F">
      <w:pPr>
        <w:rPr>
          <w:rFonts w:ascii="Verdana" w:hAnsi="Verdana" w:cs="Calibri"/>
        </w:rPr>
      </w:pPr>
      <w:r>
        <w:rPr>
          <w:rFonts w:ascii="Verdana" w:hAnsi="Verdana" w:cs="Calibri"/>
        </w:rPr>
        <w:br w:type="page"/>
      </w:r>
    </w:p>
    <w:p w:rsidR="00F618E9" w:rsidRPr="00F618E9" w:rsidRDefault="00F618E9" w:rsidP="00F618E9">
      <w:pPr>
        <w:spacing w:after="0" w:line="360" w:lineRule="auto"/>
        <w:rPr>
          <w:rFonts w:ascii="Verdana" w:hAnsi="Verdana" w:cs="Calibri"/>
        </w:rPr>
      </w:pPr>
    </w:p>
    <w:p w:rsidR="00F618E9" w:rsidRPr="00F618E9" w:rsidRDefault="00F618E9" w:rsidP="00F618E9">
      <w:pPr>
        <w:spacing w:after="0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Anexo I</w:t>
      </w:r>
    </w:p>
    <w:p w:rsidR="00F618E9" w:rsidRPr="00F618E9" w:rsidRDefault="00F618E9" w:rsidP="00F618E9">
      <w:pPr>
        <w:spacing w:after="0"/>
        <w:jc w:val="center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Equipamento Instalado</w:t>
      </w:r>
    </w:p>
    <w:p w:rsidR="00F618E9" w:rsidRPr="00F618E9" w:rsidRDefault="00F618E9" w:rsidP="00F618E9">
      <w:pPr>
        <w:spacing w:after="0"/>
        <w:jc w:val="center"/>
        <w:rPr>
          <w:rFonts w:ascii="Verdana" w:hAnsi="Verdana" w:cs="Calibri"/>
          <w:b/>
        </w:rPr>
      </w:pPr>
    </w:p>
    <w:p w:rsidR="00F618E9" w:rsidRPr="00F618E9" w:rsidRDefault="00F618E9" w:rsidP="00F618E9">
      <w:pPr>
        <w:spacing w:after="0"/>
        <w:ind w:left="360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Cozinha: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Armário frigorifico</w:t>
      </w:r>
      <w:r w:rsidRPr="00F618E9">
        <w:rPr>
          <w:rFonts w:ascii="Verdana" w:hAnsi="Verdana" w:cs="Calibri"/>
        </w:rPr>
        <w:t xml:space="preserve">, c/compartimento para congelados, em chapa de aço inox, c/zona de refrigeração c/temperaturas de -2º C a 8º C, c/capacidade de 350 litros c/ 1 porta pequena c/3 prateleiras amovíveis, c/zona de congelação e/ temperaturas de -18QC a -22QC, c/ capacidade de 350 litros, e/ 1 porta pequena, c /3 gavetas em PVC sanitário, com dimensão de 693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826 x 2008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Lava – mãos em aço inox</w:t>
      </w:r>
      <w:r w:rsidRPr="00F618E9">
        <w:rPr>
          <w:rFonts w:ascii="Verdana" w:hAnsi="Verdana" w:cs="Calibri"/>
        </w:rPr>
        <w:t xml:space="preserve">, c/pio semiesférico, c/torneira misturadora, c/ dispositivo de acionamento por pedal inferior, com dimensão de 400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400 x 850mm.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de apoio</w:t>
      </w:r>
      <w:r w:rsidRPr="00F618E9">
        <w:rPr>
          <w:rFonts w:ascii="Verdana" w:hAnsi="Verdana" w:cs="Calibri"/>
        </w:rPr>
        <w:t xml:space="preserve">, c/ 4 gavetas na vertical, c/ prateleira inferior, c/porta de abrir, aço inox, com dimensão de 1000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600 x 870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 xml:space="preserve">Placa de corte em </w:t>
      </w:r>
      <w:proofErr w:type="spellStart"/>
      <w:r w:rsidRPr="00F618E9">
        <w:rPr>
          <w:rFonts w:ascii="Verdana" w:hAnsi="Verdana" w:cs="Calibri"/>
          <w:b/>
        </w:rPr>
        <w:t>rilene</w:t>
      </w:r>
      <w:proofErr w:type="spellEnd"/>
      <w:r w:rsidRPr="00F618E9">
        <w:rPr>
          <w:rFonts w:ascii="Verdana" w:hAnsi="Verdana" w:cs="Calibri"/>
          <w:b/>
        </w:rPr>
        <w:t xml:space="preserve"> de cor branca</w:t>
      </w:r>
      <w:r w:rsidRPr="00F618E9">
        <w:rPr>
          <w:rFonts w:ascii="Verdana" w:hAnsi="Verdana" w:cs="Calibri"/>
        </w:rPr>
        <w:t xml:space="preserve">, com dimensão de 400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400 x 20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de apoio</w:t>
      </w:r>
      <w:r w:rsidRPr="00F618E9">
        <w:rPr>
          <w:rFonts w:ascii="Verdana" w:hAnsi="Verdana" w:cs="Calibri"/>
        </w:rPr>
        <w:t xml:space="preserve">, c/ cuba 400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400 x 250 mm, e/torneira misturadora, c/prateleira inferior, e portas de abrir, aço inox, com dimensão de 1000 x 600 x 870mm.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de apoio</w:t>
      </w:r>
      <w:r w:rsidRPr="00F618E9">
        <w:rPr>
          <w:rFonts w:ascii="Verdana" w:hAnsi="Verdana" w:cs="Calibri"/>
        </w:rPr>
        <w:t xml:space="preserve">, c/ cuba 400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400 x 250mm, e/torneira misturadora, c/prateleira inferior, c/local balde de detritos, c/ 1 lateral, c/ portas de abrir, aço inox, com dimensão de 1300 c 600 x 870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Carro</w:t>
      </w:r>
      <w:r w:rsidRPr="00F618E9">
        <w:rPr>
          <w:rFonts w:ascii="Verdana" w:hAnsi="Verdana" w:cs="Calibri"/>
        </w:rPr>
        <w:t xml:space="preserve"> c/balde de detritos c/pedal, c/capacidade 55 litros, aço inox, com dimensão de Ǿ380 x 620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Apanha – fumos de tipo parietal</w:t>
      </w:r>
      <w:r w:rsidRPr="00F618E9">
        <w:rPr>
          <w:rFonts w:ascii="Verdana" w:hAnsi="Verdana" w:cs="Calibri"/>
        </w:rPr>
        <w:t xml:space="preserve">, c/ 4 filtros de gorduras 500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500 x 50 mm, aço inox com dimensão de 2300 x 1000 x 600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Sistema de extração composto por</w:t>
      </w:r>
      <w:r w:rsidRPr="00F618E9">
        <w:rPr>
          <w:rFonts w:ascii="Verdana" w:hAnsi="Verdana" w:cs="Calibri"/>
        </w:rPr>
        <w:t>: Ventilador de cobertura VC 400-4T 1V, Kit de descarga vertical, quando conversos de frequência DF 51-340-0,75, 9 metros de condita Ǿ400, 2 curvas Ǿ400 90o, 2 curvas Ǿ400 45o, 2 golas Ǿ400, 2 rolos de fita de alumínio e restantes acessórios de ligação.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lastRenderedPageBreak/>
        <w:t>Fogão industrial a gás</w:t>
      </w:r>
      <w:r w:rsidRPr="00F618E9">
        <w:rPr>
          <w:rFonts w:ascii="Verdana" w:hAnsi="Verdana" w:cs="Calibri"/>
        </w:rPr>
        <w:t>, c/ 4 queimadores (4 de 7 KW), c/ um forno a gás GN 2/1 isolado a lã mineral e com porta basculante, de construção em aço inox.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Grelhador de água de funcionamento elétrico</w:t>
      </w:r>
      <w:r w:rsidRPr="00F618E9">
        <w:rPr>
          <w:rFonts w:ascii="Verdana" w:hAnsi="Verdana" w:cs="Calibri"/>
        </w:rPr>
        <w:t xml:space="preserve">, c/ grelha em ferro fundido, de construção em aço inox, com dimensão de 400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730 x 870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Fritadeira mergulhante elétrica</w:t>
      </w:r>
      <w:r w:rsidRPr="00F618E9">
        <w:rPr>
          <w:rFonts w:ascii="Verdana" w:hAnsi="Verdana" w:cs="Calibri"/>
        </w:rPr>
        <w:t xml:space="preserve">, dupla, c/capacidade de 8 + 8 litros, c/cesto de fritura por cuba, c/torneira de esgoto nas cubas, de construção em aço inox com dimensão de </w:t>
      </w:r>
      <w:proofErr w:type="gramStart"/>
      <w:r w:rsidRPr="00F618E9">
        <w:rPr>
          <w:rFonts w:ascii="Verdana" w:hAnsi="Verdana" w:cs="Calibri"/>
        </w:rPr>
        <w:t>525  x</w:t>
      </w:r>
      <w:proofErr w:type="gramEnd"/>
      <w:r w:rsidRPr="00F618E9">
        <w:rPr>
          <w:rFonts w:ascii="Verdana" w:hAnsi="Verdana" w:cs="Calibri"/>
        </w:rPr>
        <w:t xml:space="preserve"> 475 x 375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totalmente fechada</w:t>
      </w:r>
      <w:r w:rsidRPr="00F618E9">
        <w:rPr>
          <w:rFonts w:ascii="Verdana" w:hAnsi="Verdana" w:cs="Calibri"/>
        </w:rPr>
        <w:t xml:space="preserve">, c/prateleira intermédia e inferior, c/portas de abrir, aço inox, com dimensão de 1790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700 x 870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de apoio</w:t>
      </w:r>
      <w:r w:rsidRPr="00F618E9">
        <w:rPr>
          <w:rFonts w:ascii="Verdana" w:hAnsi="Verdana" w:cs="Calibri"/>
        </w:rPr>
        <w:t xml:space="preserve">, e/tampo de apoio ao passa-pratos, c/prateleira inferior, c/ local balde de detritos isolado, aço inox com dimensão de 1315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700 + 350 x 870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Separador vertical em aço inox</w:t>
      </w:r>
      <w:r w:rsidRPr="00F618E9">
        <w:rPr>
          <w:rFonts w:ascii="Verdana" w:hAnsi="Verdana" w:cs="Calibri"/>
        </w:rPr>
        <w:t xml:space="preserve">, com dimensão de 40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350 x 700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Carro</w:t>
      </w:r>
      <w:r w:rsidRPr="00F618E9">
        <w:rPr>
          <w:rFonts w:ascii="Verdana" w:hAnsi="Verdana" w:cs="Calibri"/>
        </w:rPr>
        <w:t xml:space="preserve"> c/ balde de detritos c/pedal, c/capacidade de 55 litros, aço inox, com dimensão de Ǿ380 x 620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Máquina de lavar louça de carregamento frontal</w:t>
      </w:r>
      <w:r w:rsidRPr="00F618E9">
        <w:rPr>
          <w:rFonts w:ascii="Verdana" w:hAnsi="Verdana" w:cs="Calibri"/>
        </w:rPr>
        <w:t xml:space="preserve">, c/ capacidade de 30 cestos/h, de construção em aço inox, c/ cesto quadrado de 500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500 mm. Dotada de um cesto p/ pratos de 1 cesto p/ copos e 2 godés p/ talhares, com dimensão de 585 x 680 x 805 mm.</w:t>
      </w:r>
    </w:p>
    <w:p w:rsidR="00F618E9" w:rsidRPr="00F618E9" w:rsidRDefault="00F618E9" w:rsidP="00F618E9">
      <w:pPr>
        <w:numPr>
          <w:ilvl w:val="0"/>
          <w:numId w:val="39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totalmente fechada</w:t>
      </w:r>
      <w:r w:rsidRPr="00F618E9">
        <w:rPr>
          <w:rFonts w:ascii="Verdana" w:hAnsi="Verdana" w:cs="Calibri"/>
        </w:rPr>
        <w:t xml:space="preserve">, c/ prateleira intermédia e inferior, c/portas de abrir aço inox, com dimensão de 1000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700 x 870 mm.</w:t>
      </w:r>
    </w:p>
    <w:p w:rsidR="00F618E9" w:rsidRPr="00F618E9" w:rsidRDefault="00F618E9" w:rsidP="00F618E9">
      <w:pPr>
        <w:spacing w:after="0" w:line="360" w:lineRule="auto"/>
        <w:ind w:left="360"/>
        <w:jc w:val="both"/>
        <w:rPr>
          <w:rFonts w:ascii="Verdana" w:hAnsi="Verdana" w:cs="Calibri"/>
        </w:rPr>
      </w:pPr>
    </w:p>
    <w:p w:rsidR="00F618E9" w:rsidRPr="00F618E9" w:rsidRDefault="00F618E9" w:rsidP="00F618E9">
      <w:pPr>
        <w:spacing w:after="0" w:line="360" w:lineRule="auto"/>
        <w:ind w:left="360"/>
        <w:rPr>
          <w:rFonts w:ascii="Verdana" w:hAnsi="Verdana" w:cs="Calibri"/>
          <w:b/>
        </w:rPr>
      </w:pPr>
      <w:r w:rsidRPr="00F618E9">
        <w:rPr>
          <w:rFonts w:ascii="Verdana" w:hAnsi="Verdana" w:cs="Calibri"/>
          <w:b/>
        </w:rPr>
        <w:t>Bar: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neutra com prateleira intermédia e inferior</w:t>
      </w:r>
      <w:r w:rsidRPr="00F618E9">
        <w:rPr>
          <w:rFonts w:ascii="Verdana" w:hAnsi="Verdana" w:cs="Calibri"/>
        </w:rPr>
        <w:t xml:space="preserve">, com dimensão de 2000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600 x 870 mm.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Apanha – fumos de tipo parietal</w:t>
      </w:r>
      <w:r w:rsidRPr="00F618E9">
        <w:rPr>
          <w:rFonts w:ascii="Verdana" w:hAnsi="Verdana" w:cs="Calibri"/>
        </w:rPr>
        <w:t xml:space="preserve">, c/ 2 filtros de gorduras 500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500 x 50 mm, aço inox, com dimensão de 1200 x 600 x 600 mm.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Sistema de extração composto por</w:t>
      </w:r>
      <w:r w:rsidRPr="00F618E9">
        <w:rPr>
          <w:rFonts w:ascii="Verdana" w:hAnsi="Verdana" w:cs="Calibri"/>
        </w:rPr>
        <w:t xml:space="preserve">: unidade de extração com motor diretamente acoplado DD7-7, controlador eletrónico de velocidade de ventilador STL – 010 0-AT, 9 metros de conduta </w:t>
      </w:r>
      <w:proofErr w:type="spellStart"/>
      <w:r w:rsidRPr="00F618E9">
        <w:rPr>
          <w:rFonts w:ascii="Verdana" w:hAnsi="Verdana" w:cs="Calibri"/>
        </w:rPr>
        <w:t>spiro</w:t>
      </w:r>
      <w:proofErr w:type="spellEnd"/>
      <w:r w:rsidRPr="00F618E9">
        <w:rPr>
          <w:rFonts w:ascii="Verdana" w:hAnsi="Verdana" w:cs="Calibri"/>
        </w:rPr>
        <w:t xml:space="preserve"> Ǿ 200, 2 rolos de fita de alumínio, 1 bico de pato com rede e restantes acessórios de ligação.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lastRenderedPageBreak/>
        <w:t>Bancada de apoio, c/ 4 gavetas na vertical</w:t>
      </w:r>
      <w:r w:rsidRPr="00F618E9">
        <w:rPr>
          <w:rFonts w:ascii="Verdana" w:hAnsi="Verdana" w:cs="Calibri"/>
        </w:rPr>
        <w:t xml:space="preserve">, c/ prateleira intermédia e inferior, c/ portas de abrir aço inox, com dimensão de 1370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600 x 870 mm.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de apoio</w:t>
      </w:r>
      <w:r w:rsidRPr="00F618E9">
        <w:rPr>
          <w:rFonts w:ascii="Verdana" w:hAnsi="Verdana" w:cs="Calibri"/>
        </w:rPr>
        <w:t xml:space="preserve">, c/ tulha p/ borras de café, c/ prateleira intermédia e inferior, c/ portas de abrir, aço inox, com dimensão de 1395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600 x 870 mm.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Máquina de lavar pires e chávenas de carregamento frontal</w:t>
      </w:r>
      <w:r w:rsidRPr="00F618E9">
        <w:rPr>
          <w:rFonts w:ascii="Verdana" w:hAnsi="Verdana" w:cs="Calibri"/>
        </w:rPr>
        <w:t xml:space="preserve">, c/capacidade de 30 cestos/h, de construção em aço inox c/ cesto quadrado de 350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350 mm. Dotada de 2 cestos p/ copos, 1 cesto quadrado p/ talhares e 1 porta – pires, com dimensão de 406 x 435 x 600 mm.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de apoio</w:t>
      </w:r>
      <w:r w:rsidRPr="00F618E9">
        <w:rPr>
          <w:rFonts w:ascii="Verdana" w:hAnsi="Verdana" w:cs="Calibri"/>
        </w:rPr>
        <w:t xml:space="preserve">, c/ lava – louça de encastrar c/pio 340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400 x 180 mm, c/torneira misturadora, c/ prateleira inferior, c/ local máquina de lavar pires e chávenas, c/ local máquina de cubos de gelo, aço inox, com dimensão de 1300 x 600 x 900 mm.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Máquina produtora de cubos de gelo</w:t>
      </w:r>
      <w:r w:rsidRPr="00F618E9">
        <w:rPr>
          <w:rFonts w:ascii="Verdana" w:hAnsi="Verdana" w:cs="Calibri"/>
        </w:rPr>
        <w:t xml:space="preserve">, de construção em aço inox, c/produção de 22Kg/24h, c/ depósito de 6 kg, com dimensão de 350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475 x 590 mm.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de apoio</w:t>
      </w:r>
      <w:r w:rsidRPr="00F618E9">
        <w:rPr>
          <w:rFonts w:ascii="Verdana" w:hAnsi="Verdana" w:cs="Calibri"/>
        </w:rPr>
        <w:t xml:space="preserve">, c/ travamento inferior, aço inox com dimensão de 1100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600 x 900 mm.</w:t>
      </w:r>
    </w:p>
    <w:p w:rsidR="00F618E9" w:rsidRPr="00F618E9" w:rsidRDefault="00F618E9" w:rsidP="00F618E9">
      <w:pPr>
        <w:numPr>
          <w:ilvl w:val="0"/>
          <w:numId w:val="40"/>
        </w:numPr>
        <w:spacing w:after="0" w:line="360" w:lineRule="auto"/>
        <w:jc w:val="both"/>
        <w:rPr>
          <w:rFonts w:ascii="Verdana" w:hAnsi="Verdana" w:cs="Calibri"/>
        </w:rPr>
      </w:pPr>
      <w:r w:rsidRPr="00F618E9">
        <w:rPr>
          <w:rFonts w:ascii="Verdana" w:hAnsi="Verdana" w:cs="Calibri"/>
          <w:b/>
        </w:rPr>
        <w:t>Bancada de encosto refrigerada em aço inox</w:t>
      </w:r>
      <w:r w:rsidRPr="00F618E9">
        <w:rPr>
          <w:rFonts w:ascii="Verdana" w:hAnsi="Verdana" w:cs="Calibri"/>
        </w:rPr>
        <w:t xml:space="preserve">, c/ câmara de frio c/ 2 portas, c/ capacidade p/ 181 litros, c/ temperaturas de 0º C a 2º C, com dimensão de 1560 </w:t>
      </w:r>
      <w:proofErr w:type="gramStart"/>
      <w:r w:rsidRPr="00F618E9">
        <w:rPr>
          <w:rFonts w:ascii="Verdana" w:hAnsi="Verdana" w:cs="Calibri"/>
        </w:rPr>
        <w:t>x</w:t>
      </w:r>
      <w:proofErr w:type="gramEnd"/>
      <w:r w:rsidRPr="00F618E9">
        <w:rPr>
          <w:rFonts w:ascii="Verdana" w:hAnsi="Verdana" w:cs="Calibri"/>
        </w:rPr>
        <w:t xml:space="preserve"> 600 x 900 mm.</w:t>
      </w:r>
    </w:p>
    <w:p w:rsidR="00F618E9" w:rsidRPr="00F618E9" w:rsidRDefault="00F618E9" w:rsidP="00F618E9">
      <w:pPr>
        <w:spacing w:after="0" w:line="360" w:lineRule="auto"/>
        <w:jc w:val="both"/>
        <w:rPr>
          <w:rFonts w:ascii="Verdana" w:hAnsi="Verdana" w:cs="Calibri"/>
        </w:rPr>
      </w:pPr>
    </w:p>
    <w:p w:rsidR="009277A7" w:rsidRPr="00F618E9" w:rsidRDefault="009277A7" w:rsidP="00F618E9"/>
    <w:sectPr w:rsidR="009277A7" w:rsidRPr="00F618E9" w:rsidSect="005C6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567" w:left="1134" w:header="1134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04" w:rsidRDefault="003A5304">
      <w:pPr>
        <w:spacing w:after="0" w:line="240" w:lineRule="auto"/>
      </w:pPr>
      <w:r>
        <w:separator/>
      </w:r>
    </w:p>
  </w:endnote>
  <w:endnote w:type="continuationSeparator" w:id="0">
    <w:p w:rsidR="003A5304" w:rsidRDefault="003A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D53" w:rsidRDefault="00720C03">
    <w:pPr>
      <w:pStyle w:val="Rodap"/>
      <w:framePr w:wrap="auto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51D53" w:rsidRDefault="003A5304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eastAsiaTheme="majorEastAsia" w:hAnsi="Verdana" w:cstheme="majorBidi"/>
        <w:sz w:val="16"/>
        <w:szCs w:val="16"/>
      </w:rPr>
      <w:id w:val="2123023525"/>
      <w:docPartObj>
        <w:docPartGallery w:val="Page Numbers (Bottom of Page)"/>
        <w:docPartUnique/>
      </w:docPartObj>
    </w:sdtPr>
    <w:sdtEndPr>
      <w:rPr>
        <w:color w:val="1F497D" w:themeColor="text2"/>
        <w:sz w:val="14"/>
      </w:rPr>
    </w:sdtEndPr>
    <w:sdtContent>
      <w:p w:rsidR="00BF5E05" w:rsidRDefault="00BF5E05" w:rsidP="00BF5E05">
        <w:pPr>
          <w:pStyle w:val="Rodap"/>
          <w:spacing w:line="360" w:lineRule="auto"/>
          <w:jc w:val="center"/>
          <w:rPr>
            <w:rFonts w:ascii="Verdana" w:hAnsi="Verdana"/>
            <w:color w:val="1F497D" w:themeColor="text2"/>
            <w:sz w:val="18"/>
          </w:rPr>
        </w:pPr>
        <w:r>
          <w:rPr>
            <w:rFonts w:ascii="Verdana" w:hAnsi="Verdana"/>
            <w:color w:val="1F497D" w:themeColor="text2"/>
            <w:sz w:val="18"/>
          </w:rPr>
          <w:t>___________________________________________________________________________________</w:t>
        </w:r>
      </w:p>
      <w:p w:rsidR="00E60E7E" w:rsidRPr="005C63BB" w:rsidRDefault="00BF5E05" w:rsidP="00BF5E05">
        <w:pPr>
          <w:pStyle w:val="Rodap"/>
          <w:spacing w:line="360" w:lineRule="auto"/>
          <w:jc w:val="center"/>
          <w:rPr>
            <w:rFonts w:ascii="Verdana" w:hAnsi="Verdana"/>
            <w:color w:val="1F497D" w:themeColor="text2"/>
            <w:sz w:val="12"/>
            <w:szCs w:val="16"/>
          </w:rPr>
        </w:pPr>
        <w:r w:rsidRPr="005C63BB">
          <w:rPr>
            <w:rFonts w:ascii="Verdana" w:hAnsi="Verdana"/>
            <w:color w:val="1F497D" w:themeColor="text2"/>
            <w:sz w:val="12"/>
            <w:szCs w:val="16"/>
          </w:rPr>
          <w:t>Rua Jerónimo Barbosa, n.º 118,  5140 - 077 Carrazeda de Ansiães | Tel. 278</w:t>
        </w:r>
        <w:r w:rsidRPr="005C63BB">
          <w:rPr>
            <w:rFonts w:ascii="Verdana" w:hAnsi="Verdana" w:cs="Calibri"/>
            <w:color w:val="1F497D" w:themeColor="text2"/>
            <w:sz w:val="12"/>
            <w:szCs w:val="16"/>
          </w:rPr>
          <w:t> </w:t>
        </w:r>
        <w:r w:rsidRPr="005C63BB">
          <w:rPr>
            <w:rFonts w:ascii="Verdana" w:hAnsi="Verdana"/>
            <w:color w:val="1F497D" w:themeColor="text2"/>
            <w:sz w:val="12"/>
            <w:szCs w:val="16"/>
          </w:rPr>
          <w:t>610</w:t>
        </w:r>
        <w:r w:rsidRPr="005C63BB">
          <w:rPr>
            <w:rFonts w:ascii="Verdana" w:hAnsi="Verdana" w:cs="Calibri"/>
            <w:color w:val="1F497D" w:themeColor="text2"/>
            <w:sz w:val="12"/>
            <w:szCs w:val="16"/>
          </w:rPr>
          <w:t> </w:t>
        </w:r>
        <w:r w:rsidRPr="005C63BB">
          <w:rPr>
            <w:rFonts w:ascii="Verdana" w:hAnsi="Verdana"/>
            <w:color w:val="1F497D" w:themeColor="text2"/>
            <w:sz w:val="12"/>
            <w:szCs w:val="16"/>
          </w:rPr>
          <w:t xml:space="preserve">200 | </w:t>
        </w:r>
        <w:hyperlink r:id="rId1" w:history="1">
          <w:r w:rsidR="005C63BB" w:rsidRPr="005C63BB">
            <w:rPr>
              <w:rStyle w:val="Hiperligao"/>
              <w:rFonts w:ascii="Verdana" w:hAnsi="Verdana"/>
              <w:color w:val="1F497D" w:themeColor="text2"/>
              <w:sz w:val="12"/>
              <w:szCs w:val="16"/>
              <w:u w:val="none"/>
            </w:rPr>
            <w:t>contratacao@cmca.pt</w:t>
          </w:r>
        </w:hyperlink>
        <w:r w:rsidRPr="005C63BB">
          <w:rPr>
            <w:rStyle w:val="Hiperligao"/>
            <w:rFonts w:ascii="Verdana" w:hAnsi="Verdana"/>
            <w:color w:val="1F497D" w:themeColor="text2"/>
            <w:sz w:val="12"/>
            <w:szCs w:val="16"/>
            <w:u w:val="none"/>
          </w:rPr>
          <w:t xml:space="preserve"> | c</w:t>
        </w:r>
        <w:r w:rsidRPr="005C63BB">
          <w:rPr>
            <w:rFonts w:ascii="Verdana" w:hAnsi="Verdana"/>
            <w:color w:val="1F497D" w:themeColor="text2"/>
            <w:sz w:val="12"/>
            <w:szCs w:val="16"/>
          </w:rPr>
          <w:t>m-carrazedadeansiaes.pt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EF" w:rsidRDefault="008131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04" w:rsidRDefault="003A5304">
      <w:pPr>
        <w:spacing w:after="0" w:line="240" w:lineRule="auto"/>
      </w:pPr>
      <w:r>
        <w:separator/>
      </w:r>
    </w:p>
  </w:footnote>
  <w:footnote w:type="continuationSeparator" w:id="0">
    <w:p w:rsidR="003A5304" w:rsidRDefault="003A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D53" w:rsidRPr="00806B65" w:rsidRDefault="00720C03" w:rsidP="00806B65">
    <w:pPr>
      <w:pStyle w:val="Cabealho"/>
      <w:spacing w:before="120"/>
      <w:rPr>
        <w:b/>
      </w:rPr>
    </w:pPr>
    <w:r w:rsidRPr="00806B65">
      <w:rPr>
        <w:b/>
      </w:rPr>
      <w:t xml:space="preserve">Contrato n.º </w:t>
    </w:r>
    <w:r w:rsidRPr="00806B65">
      <w:rPr>
        <w:b/>
        <w:color w:val="FF0000"/>
      </w:rPr>
      <w:t>X</w:t>
    </w:r>
    <w:r w:rsidRPr="00806B65">
      <w:rPr>
        <w:b/>
      </w:rPr>
      <w:t>/2017</w:t>
    </w:r>
  </w:p>
  <w:p w:rsidR="00751D53" w:rsidRDefault="003A5304" w:rsidP="00806B65">
    <w:pPr>
      <w:pStyle w:val="Cabealho"/>
      <w:ind w:right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BB" w:rsidRDefault="005C63BB">
    <w:pPr>
      <w:pStyle w:val="Cabealho"/>
      <w:rPr>
        <w:rFonts w:ascii="Verdana" w:hAnsi="Verdana"/>
        <w:sz w:val="18"/>
      </w:rPr>
    </w:pPr>
    <w:r w:rsidRPr="00D6617E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6DED20EA" wp14:editId="3D1490B1">
          <wp:simplePos x="0" y="0"/>
          <wp:positionH relativeFrom="margin">
            <wp:align>center</wp:align>
          </wp:positionH>
          <wp:positionV relativeFrom="paragraph">
            <wp:posOffset>-545465</wp:posOffset>
          </wp:positionV>
          <wp:extent cx="1043305" cy="968375"/>
          <wp:effectExtent l="0" t="0" r="4445" b="31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63BB" w:rsidRDefault="005C63BB">
    <w:pPr>
      <w:pStyle w:val="Cabealho"/>
      <w:rPr>
        <w:rFonts w:ascii="Verdana" w:hAnsi="Verdana"/>
        <w:sz w:val="18"/>
      </w:rPr>
    </w:pPr>
  </w:p>
  <w:p w:rsidR="005C63BB" w:rsidRDefault="005C63BB" w:rsidP="005C63BB">
    <w:pPr>
      <w:pStyle w:val="Cabealho"/>
      <w:spacing w:line="360" w:lineRule="auto"/>
      <w:rPr>
        <w:rFonts w:ascii="Verdana" w:hAnsi="Verdana"/>
        <w:sz w:val="18"/>
      </w:rPr>
    </w:pPr>
  </w:p>
  <w:p w:rsidR="008131EF" w:rsidRPr="008131EF" w:rsidRDefault="008131EF" w:rsidP="005C63BB">
    <w:pPr>
      <w:pStyle w:val="Cabealho"/>
      <w:rPr>
        <w:rFonts w:ascii="Verdana" w:hAnsi="Verdana"/>
        <w:color w:val="1F497D" w:themeColor="text2"/>
        <w:sz w:val="8"/>
      </w:rPr>
    </w:pPr>
  </w:p>
  <w:p w:rsidR="005C63BB" w:rsidRPr="005C63BB" w:rsidRDefault="005C63BB" w:rsidP="005C63BB">
    <w:pPr>
      <w:pStyle w:val="Cabealho"/>
      <w:rPr>
        <w:rFonts w:ascii="Verdana" w:hAnsi="Verdana"/>
        <w:color w:val="1F497D" w:themeColor="text2"/>
        <w:sz w:val="18"/>
      </w:rPr>
    </w:pPr>
    <w:r>
      <w:rPr>
        <w:rFonts w:ascii="Verdana" w:hAnsi="Verdana"/>
        <w:color w:val="1F497D" w:themeColor="text2"/>
        <w:sz w:val="18"/>
      </w:rPr>
      <w:t>Divisão de Contratação Pública, Aprovisionamento, Desenvolvimento Económico e Social</w:t>
    </w:r>
  </w:p>
  <w:p w:rsidR="005C63BB" w:rsidRPr="005C63BB" w:rsidRDefault="005C63BB" w:rsidP="005C63BB">
    <w:pPr>
      <w:pStyle w:val="Cabealho"/>
      <w:rPr>
        <w:rFonts w:ascii="Verdana" w:hAnsi="Verdana"/>
        <w:color w:val="1F497D" w:themeColor="text2"/>
        <w:sz w:val="16"/>
        <w:szCs w:val="16"/>
      </w:rPr>
    </w:pPr>
    <w:r w:rsidRPr="005C63BB">
      <w:rPr>
        <w:rFonts w:ascii="Verdana" w:hAnsi="Verdana"/>
        <w:color w:val="1F497D" w:themeColor="text2"/>
        <w:sz w:val="16"/>
        <w:szCs w:val="16"/>
      </w:rPr>
      <w:t>_________________________________________________________________________________</w:t>
    </w:r>
    <w:r>
      <w:rPr>
        <w:rFonts w:ascii="Verdana" w:hAnsi="Verdana"/>
        <w:color w:val="1F497D" w:themeColor="text2"/>
        <w:sz w:val="16"/>
        <w:szCs w:val="16"/>
      </w:rPr>
      <w:t>_____________</w:t>
    </w:r>
  </w:p>
  <w:p w:rsidR="005C63BB" w:rsidRPr="005C63BB" w:rsidRDefault="005C63BB" w:rsidP="005C63BB">
    <w:pPr>
      <w:pStyle w:val="Cabealho"/>
      <w:rPr>
        <w:rFonts w:ascii="Verdana" w:hAnsi="Verdana"/>
        <w:color w:val="1F497D" w:themeColor="text2"/>
        <w:sz w:val="16"/>
        <w:szCs w:val="16"/>
      </w:rPr>
    </w:pPr>
  </w:p>
  <w:p w:rsidR="005C63BB" w:rsidRPr="005C63BB" w:rsidRDefault="005C63BB" w:rsidP="00D31DF8">
    <w:pPr>
      <w:pStyle w:val="Cabealho"/>
      <w:jc w:val="center"/>
      <w:rPr>
        <w:color w:val="1F497D" w:themeColor="text2"/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EF" w:rsidRDefault="008131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146"/>
    <w:multiLevelType w:val="hybridMultilevel"/>
    <w:tmpl w:val="1B92151A"/>
    <w:lvl w:ilvl="0" w:tplc="FF7E12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41677C"/>
    <w:multiLevelType w:val="hybridMultilevel"/>
    <w:tmpl w:val="C0D8D4B8"/>
    <w:lvl w:ilvl="0" w:tplc="AA3AE034">
      <w:start w:val="1"/>
      <w:numFmt w:val="lowerLetter"/>
      <w:lvlText w:val="%1)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>
      <w:start w:val="1"/>
      <w:numFmt w:val="lowerRoman"/>
      <w:lvlText w:val="%3."/>
      <w:lvlJc w:val="right"/>
      <w:pPr>
        <w:ind w:left="2868" w:hanging="180"/>
      </w:pPr>
    </w:lvl>
    <w:lvl w:ilvl="3" w:tplc="0816000F">
      <w:start w:val="1"/>
      <w:numFmt w:val="decimal"/>
      <w:lvlText w:val="%4."/>
      <w:lvlJc w:val="left"/>
      <w:pPr>
        <w:ind w:left="3588" w:hanging="360"/>
      </w:pPr>
    </w:lvl>
    <w:lvl w:ilvl="4" w:tplc="08160019">
      <w:start w:val="1"/>
      <w:numFmt w:val="lowerLetter"/>
      <w:lvlText w:val="%5."/>
      <w:lvlJc w:val="left"/>
      <w:pPr>
        <w:ind w:left="4308" w:hanging="360"/>
      </w:pPr>
    </w:lvl>
    <w:lvl w:ilvl="5" w:tplc="0816001B">
      <w:start w:val="1"/>
      <w:numFmt w:val="lowerRoman"/>
      <w:lvlText w:val="%6."/>
      <w:lvlJc w:val="right"/>
      <w:pPr>
        <w:ind w:left="5028" w:hanging="180"/>
      </w:pPr>
    </w:lvl>
    <w:lvl w:ilvl="6" w:tplc="0816000F">
      <w:start w:val="1"/>
      <w:numFmt w:val="decimal"/>
      <w:lvlText w:val="%7."/>
      <w:lvlJc w:val="left"/>
      <w:pPr>
        <w:ind w:left="5748" w:hanging="360"/>
      </w:pPr>
    </w:lvl>
    <w:lvl w:ilvl="7" w:tplc="08160019">
      <w:start w:val="1"/>
      <w:numFmt w:val="lowerLetter"/>
      <w:lvlText w:val="%8."/>
      <w:lvlJc w:val="left"/>
      <w:pPr>
        <w:ind w:left="6468" w:hanging="360"/>
      </w:pPr>
    </w:lvl>
    <w:lvl w:ilvl="8" w:tplc="0816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D5634A"/>
    <w:multiLevelType w:val="hybridMultilevel"/>
    <w:tmpl w:val="ADE80F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C1D"/>
    <w:multiLevelType w:val="hybridMultilevel"/>
    <w:tmpl w:val="087AA5AC"/>
    <w:lvl w:ilvl="0" w:tplc="D2A0C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40AAE"/>
    <w:multiLevelType w:val="hybridMultilevel"/>
    <w:tmpl w:val="A750443A"/>
    <w:lvl w:ilvl="0" w:tplc="9968B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66AD"/>
    <w:multiLevelType w:val="hybridMultilevel"/>
    <w:tmpl w:val="DAB00CCC"/>
    <w:lvl w:ilvl="0" w:tplc="08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04F74"/>
    <w:multiLevelType w:val="hybridMultilevel"/>
    <w:tmpl w:val="2BE8DF66"/>
    <w:lvl w:ilvl="0" w:tplc="8AA67210">
      <w:start w:val="1"/>
      <w:numFmt w:val="lowerLetter"/>
      <w:lvlText w:val="%1)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>
      <w:start w:val="1"/>
      <w:numFmt w:val="lowerRoman"/>
      <w:lvlText w:val="%3."/>
      <w:lvlJc w:val="right"/>
      <w:pPr>
        <w:ind w:left="2509" w:hanging="180"/>
      </w:pPr>
    </w:lvl>
    <w:lvl w:ilvl="3" w:tplc="0816000F">
      <w:start w:val="1"/>
      <w:numFmt w:val="decimal"/>
      <w:lvlText w:val="%4."/>
      <w:lvlJc w:val="left"/>
      <w:pPr>
        <w:ind w:left="3229" w:hanging="360"/>
      </w:pPr>
    </w:lvl>
    <w:lvl w:ilvl="4" w:tplc="08160019">
      <w:start w:val="1"/>
      <w:numFmt w:val="lowerLetter"/>
      <w:lvlText w:val="%5."/>
      <w:lvlJc w:val="left"/>
      <w:pPr>
        <w:ind w:left="3949" w:hanging="360"/>
      </w:pPr>
    </w:lvl>
    <w:lvl w:ilvl="5" w:tplc="0816001B">
      <w:start w:val="1"/>
      <w:numFmt w:val="lowerRoman"/>
      <w:lvlText w:val="%6."/>
      <w:lvlJc w:val="right"/>
      <w:pPr>
        <w:ind w:left="4669" w:hanging="180"/>
      </w:pPr>
    </w:lvl>
    <w:lvl w:ilvl="6" w:tplc="0816000F">
      <w:start w:val="1"/>
      <w:numFmt w:val="decimal"/>
      <w:lvlText w:val="%7."/>
      <w:lvlJc w:val="left"/>
      <w:pPr>
        <w:ind w:left="5389" w:hanging="360"/>
      </w:pPr>
    </w:lvl>
    <w:lvl w:ilvl="7" w:tplc="08160019">
      <w:start w:val="1"/>
      <w:numFmt w:val="lowerLetter"/>
      <w:lvlText w:val="%8."/>
      <w:lvlJc w:val="left"/>
      <w:pPr>
        <w:ind w:left="6109" w:hanging="360"/>
      </w:pPr>
    </w:lvl>
    <w:lvl w:ilvl="8" w:tplc="0816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8A4697"/>
    <w:multiLevelType w:val="hybridMultilevel"/>
    <w:tmpl w:val="9E9401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20A83"/>
    <w:multiLevelType w:val="hybridMultilevel"/>
    <w:tmpl w:val="8CBA517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45F30"/>
    <w:multiLevelType w:val="hybridMultilevel"/>
    <w:tmpl w:val="35080324"/>
    <w:lvl w:ilvl="0" w:tplc="F280C2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426AF9"/>
    <w:multiLevelType w:val="hybridMultilevel"/>
    <w:tmpl w:val="667C0A4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30578"/>
    <w:multiLevelType w:val="hybridMultilevel"/>
    <w:tmpl w:val="F8B617A6"/>
    <w:lvl w:ilvl="0" w:tplc="F732EBA6">
      <w:start w:val="1"/>
      <w:numFmt w:val="lowerLetter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AC3BF8"/>
    <w:multiLevelType w:val="hybridMultilevel"/>
    <w:tmpl w:val="B4965CC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031EA3"/>
    <w:multiLevelType w:val="hybridMultilevel"/>
    <w:tmpl w:val="BD642F2E"/>
    <w:lvl w:ilvl="0" w:tplc="593CDC9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>
      <w:start w:val="1"/>
      <w:numFmt w:val="lowerRoman"/>
      <w:lvlText w:val="%3."/>
      <w:lvlJc w:val="right"/>
      <w:pPr>
        <w:ind w:left="2509" w:hanging="180"/>
      </w:pPr>
    </w:lvl>
    <w:lvl w:ilvl="3" w:tplc="0816000F">
      <w:start w:val="1"/>
      <w:numFmt w:val="decimal"/>
      <w:lvlText w:val="%4."/>
      <w:lvlJc w:val="left"/>
      <w:pPr>
        <w:ind w:left="3229" w:hanging="360"/>
      </w:pPr>
    </w:lvl>
    <w:lvl w:ilvl="4" w:tplc="08160019">
      <w:start w:val="1"/>
      <w:numFmt w:val="lowerLetter"/>
      <w:lvlText w:val="%5."/>
      <w:lvlJc w:val="left"/>
      <w:pPr>
        <w:ind w:left="3949" w:hanging="360"/>
      </w:pPr>
    </w:lvl>
    <w:lvl w:ilvl="5" w:tplc="0816001B">
      <w:start w:val="1"/>
      <w:numFmt w:val="lowerRoman"/>
      <w:lvlText w:val="%6."/>
      <w:lvlJc w:val="right"/>
      <w:pPr>
        <w:ind w:left="4669" w:hanging="180"/>
      </w:pPr>
    </w:lvl>
    <w:lvl w:ilvl="6" w:tplc="0816000F">
      <w:start w:val="1"/>
      <w:numFmt w:val="decimal"/>
      <w:lvlText w:val="%7."/>
      <w:lvlJc w:val="left"/>
      <w:pPr>
        <w:ind w:left="5389" w:hanging="360"/>
      </w:pPr>
    </w:lvl>
    <w:lvl w:ilvl="7" w:tplc="08160019">
      <w:start w:val="1"/>
      <w:numFmt w:val="lowerLetter"/>
      <w:lvlText w:val="%8."/>
      <w:lvlJc w:val="left"/>
      <w:pPr>
        <w:ind w:left="6109" w:hanging="360"/>
      </w:pPr>
    </w:lvl>
    <w:lvl w:ilvl="8" w:tplc="08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3536A5"/>
    <w:multiLevelType w:val="hybridMultilevel"/>
    <w:tmpl w:val="14623B56"/>
    <w:lvl w:ilvl="0" w:tplc="A0F0BF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1765EB"/>
    <w:multiLevelType w:val="hybridMultilevel"/>
    <w:tmpl w:val="7F766A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95FEA"/>
    <w:multiLevelType w:val="hybridMultilevel"/>
    <w:tmpl w:val="F84294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16DC2"/>
    <w:multiLevelType w:val="hybridMultilevel"/>
    <w:tmpl w:val="17963DDA"/>
    <w:lvl w:ilvl="0" w:tplc="FF7E12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FD7C87"/>
    <w:multiLevelType w:val="hybridMultilevel"/>
    <w:tmpl w:val="B218F610"/>
    <w:lvl w:ilvl="0" w:tplc="3D52E200">
      <w:start w:val="1"/>
      <w:numFmt w:val="decimal"/>
      <w:lvlText w:val="%1."/>
      <w:lvlJc w:val="left"/>
      <w:pPr>
        <w:ind w:left="502" w:hanging="360"/>
      </w:pPr>
    </w:lvl>
    <w:lvl w:ilvl="1" w:tplc="08160019">
      <w:start w:val="1"/>
      <w:numFmt w:val="lowerLetter"/>
      <w:lvlText w:val="%2."/>
      <w:lvlJc w:val="left"/>
      <w:pPr>
        <w:ind w:left="1222" w:hanging="360"/>
      </w:pPr>
    </w:lvl>
    <w:lvl w:ilvl="2" w:tplc="0816001B">
      <w:start w:val="1"/>
      <w:numFmt w:val="lowerRoman"/>
      <w:lvlText w:val="%3."/>
      <w:lvlJc w:val="right"/>
      <w:pPr>
        <w:ind w:left="1942" w:hanging="180"/>
      </w:pPr>
    </w:lvl>
    <w:lvl w:ilvl="3" w:tplc="0816000F">
      <w:start w:val="1"/>
      <w:numFmt w:val="decimal"/>
      <w:lvlText w:val="%4."/>
      <w:lvlJc w:val="left"/>
      <w:pPr>
        <w:ind w:left="2662" w:hanging="360"/>
      </w:pPr>
    </w:lvl>
    <w:lvl w:ilvl="4" w:tplc="08160019">
      <w:start w:val="1"/>
      <w:numFmt w:val="lowerLetter"/>
      <w:lvlText w:val="%5."/>
      <w:lvlJc w:val="left"/>
      <w:pPr>
        <w:ind w:left="3382" w:hanging="360"/>
      </w:pPr>
    </w:lvl>
    <w:lvl w:ilvl="5" w:tplc="0816001B">
      <w:start w:val="1"/>
      <w:numFmt w:val="lowerRoman"/>
      <w:lvlText w:val="%6."/>
      <w:lvlJc w:val="right"/>
      <w:pPr>
        <w:ind w:left="4102" w:hanging="180"/>
      </w:pPr>
    </w:lvl>
    <w:lvl w:ilvl="6" w:tplc="0816000F">
      <w:start w:val="1"/>
      <w:numFmt w:val="decimal"/>
      <w:lvlText w:val="%7."/>
      <w:lvlJc w:val="left"/>
      <w:pPr>
        <w:ind w:left="4822" w:hanging="360"/>
      </w:pPr>
    </w:lvl>
    <w:lvl w:ilvl="7" w:tplc="08160019">
      <w:start w:val="1"/>
      <w:numFmt w:val="lowerLetter"/>
      <w:lvlText w:val="%8."/>
      <w:lvlJc w:val="left"/>
      <w:pPr>
        <w:ind w:left="5542" w:hanging="360"/>
      </w:pPr>
    </w:lvl>
    <w:lvl w:ilvl="8" w:tplc="0816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AE50466"/>
    <w:multiLevelType w:val="hybridMultilevel"/>
    <w:tmpl w:val="B3C89C0C"/>
    <w:lvl w:ilvl="0" w:tplc="08160017">
      <w:start w:val="1"/>
      <w:numFmt w:val="lowerLetter"/>
      <w:lvlText w:val="%1)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>
      <w:start w:val="1"/>
      <w:numFmt w:val="lowerRoman"/>
      <w:lvlText w:val="%3."/>
      <w:lvlJc w:val="right"/>
      <w:pPr>
        <w:ind w:left="2868" w:hanging="180"/>
      </w:pPr>
    </w:lvl>
    <w:lvl w:ilvl="3" w:tplc="0816000F">
      <w:start w:val="1"/>
      <w:numFmt w:val="decimal"/>
      <w:lvlText w:val="%4."/>
      <w:lvlJc w:val="left"/>
      <w:pPr>
        <w:ind w:left="3588" w:hanging="360"/>
      </w:pPr>
    </w:lvl>
    <w:lvl w:ilvl="4" w:tplc="08160019">
      <w:start w:val="1"/>
      <w:numFmt w:val="lowerLetter"/>
      <w:lvlText w:val="%5."/>
      <w:lvlJc w:val="left"/>
      <w:pPr>
        <w:ind w:left="4308" w:hanging="360"/>
      </w:pPr>
    </w:lvl>
    <w:lvl w:ilvl="5" w:tplc="0816001B">
      <w:start w:val="1"/>
      <w:numFmt w:val="lowerRoman"/>
      <w:lvlText w:val="%6."/>
      <w:lvlJc w:val="right"/>
      <w:pPr>
        <w:ind w:left="5028" w:hanging="180"/>
      </w:pPr>
    </w:lvl>
    <w:lvl w:ilvl="6" w:tplc="0816000F">
      <w:start w:val="1"/>
      <w:numFmt w:val="decimal"/>
      <w:lvlText w:val="%7."/>
      <w:lvlJc w:val="left"/>
      <w:pPr>
        <w:ind w:left="5748" w:hanging="360"/>
      </w:pPr>
    </w:lvl>
    <w:lvl w:ilvl="7" w:tplc="08160019">
      <w:start w:val="1"/>
      <w:numFmt w:val="lowerLetter"/>
      <w:lvlText w:val="%8."/>
      <w:lvlJc w:val="left"/>
      <w:pPr>
        <w:ind w:left="6468" w:hanging="360"/>
      </w:pPr>
    </w:lvl>
    <w:lvl w:ilvl="8" w:tplc="0816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CAE680E"/>
    <w:multiLevelType w:val="hybridMultilevel"/>
    <w:tmpl w:val="B28E7E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C7BE5"/>
    <w:multiLevelType w:val="hybridMultilevel"/>
    <w:tmpl w:val="B66CC790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>
      <w:start w:val="1"/>
      <w:numFmt w:val="lowerRoman"/>
      <w:lvlText w:val="%3."/>
      <w:lvlJc w:val="right"/>
      <w:pPr>
        <w:ind w:left="2880" w:hanging="180"/>
      </w:pPr>
    </w:lvl>
    <w:lvl w:ilvl="3" w:tplc="0816000F">
      <w:start w:val="1"/>
      <w:numFmt w:val="decimal"/>
      <w:lvlText w:val="%4."/>
      <w:lvlJc w:val="left"/>
      <w:pPr>
        <w:ind w:left="3600" w:hanging="360"/>
      </w:pPr>
    </w:lvl>
    <w:lvl w:ilvl="4" w:tplc="08160019">
      <w:start w:val="1"/>
      <w:numFmt w:val="lowerLetter"/>
      <w:lvlText w:val="%5."/>
      <w:lvlJc w:val="left"/>
      <w:pPr>
        <w:ind w:left="4320" w:hanging="360"/>
      </w:pPr>
    </w:lvl>
    <w:lvl w:ilvl="5" w:tplc="0816001B">
      <w:start w:val="1"/>
      <w:numFmt w:val="lowerRoman"/>
      <w:lvlText w:val="%6."/>
      <w:lvlJc w:val="right"/>
      <w:pPr>
        <w:ind w:left="5040" w:hanging="180"/>
      </w:pPr>
    </w:lvl>
    <w:lvl w:ilvl="6" w:tplc="0816000F">
      <w:start w:val="1"/>
      <w:numFmt w:val="decimal"/>
      <w:lvlText w:val="%7."/>
      <w:lvlJc w:val="left"/>
      <w:pPr>
        <w:ind w:left="5760" w:hanging="360"/>
      </w:pPr>
    </w:lvl>
    <w:lvl w:ilvl="7" w:tplc="08160019">
      <w:start w:val="1"/>
      <w:numFmt w:val="lowerLetter"/>
      <w:lvlText w:val="%8."/>
      <w:lvlJc w:val="left"/>
      <w:pPr>
        <w:ind w:left="6480" w:hanging="360"/>
      </w:pPr>
    </w:lvl>
    <w:lvl w:ilvl="8" w:tplc="0816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F13B7"/>
    <w:multiLevelType w:val="hybridMultilevel"/>
    <w:tmpl w:val="30989B3C"/>
    <w:lvl w:ilvl="0" w:tplc="0816000F">
      <w:start w:val="1"/>
      <w:numFmt w:val="decimal"/>
      <w:lvlText w:val="%1."/>
      <w:lvlJc w:val="left"/>
      <w:pPr>
        <w:ind w:left="4188" w:hanging="360"/>
      </w:pPr>
    </w:lvl>
    <w:lvl w:ilvl="1" w:tplc="08160019">
      <w:start w:val="1"/>
      <w:numFmt w:val="lowerLetter"/>
      <w:lvlText w:val="%2."/>
      <w:lvlJc w:val="left"/>
      <w:pPr>
        <w:ind w:left="4908" w:hanging="360"/>
      </w:pPr>
    </w:lvl>
    <w:lvl w:ilvl="2" w:tplc="0816001B">
      <w:start w:val="1"/>
      <w:numFmt w:val="lowerRoman"/>
      <w:lvlText w:val="%3."/>
      <w:lvlJc w:val="right"/>
      <w:pPr>
        <w:ind w:left="5628" w:hanging="180"/>
      </w:pPr>
    </w:lvl>
    <w:lvl w:ilvl="3" w:tplc="0816000F">
      <w:start w:val="1"/>
      <w:numFmt w:val="decimal"/>
      <w:lvlText w:val="%4."/>
      <w:lvlJc w:val="left"/>
      <w:pPr>
        <w:ind w:left="6348" w:hanging="360"/>
      </w:pPr>
    </w:lvl>
    <w:lvl w:ilvl="4" w:tplc="08160019">
      <w:start w:val="1"/>
      <w:numFmt w:val="lowerLetter"/>
      <w:lvlText w:val="%5."/>
      <w:lvlJc w:val="left"/>
      <w:pPr>
        <w:ind w:left="7068" w:hanging="360"/>
      </w:pPr>
    </w:lvl>
    <w:lvl w:ilvl="5" w:tplc="0816001B">
      <w:start w:val="1"/>
      <w:numFmt w:val="lowerRoman"/>
      <w:lvlText w:val="%6."/>
      <w:lvlJc w:val="right"/>
      <w:pPr>
        <w:ind w:left="7788" w:hanging="180"/>
      </w:pPr>
    </w:lvl>
    <w:lvl w:ilvl="6" w:tplc="0816000F">
      <w:start w:val="1"/>
      <w:numFmt w:val="decimal"/>
      <w:lvlText w:val="%7."/>
      <w:lvlJc w:val="left"/>
      <w:pPr>
        <w:ind w:left="8508" w:hanging="360"/>
      </w:pPr>
    </w:lvl>
    <w:lvl w:ilvl="7" w:tplc="08160019">
      <w:start w:val="1"/>
      <w:numFmt w:val="lowerLetter"/>
      <w:lvlText w:val="%8."/>
      <w:lvlJc w:val="left"/>
      <w:pPr>
        <w:ind w:left="9228" w:hanging="360"/>
      </w:pPr>
    </w:lvl>
    <w:lvl w:ilvl="8" w:tplc="0816001B">
      <w:start w:val="1"/>
      <w:numFmt w:val="lowerRoman"/>
      <w:lvlText w:val="%9."/>
      <w:lvlJc w:val="right"/>
      <w:pPr>
        <w:ind w:left="9948" w:hanging="180"/>
      </w:pPr>
    </w:lvl>
  </w:abstractNum>
  <w:abstractNum w:abstractNumId="23" w15:restartNumberingAfterBreak="0">
    <w:nsid w:val="502C631F"/>
    <w:multiLevelType w:val="hybridMultilevel"/>
    <w:tmpl w:val="787A49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42F2E"/>
    <w:multiLevelType w:val="hybridMultilevel"/>
    <w:tmpl w:val="7ABABA8E"/>
    <w:lvl w:ilvl="0" w:tplc="55F4DE86">
      <w:start w:val="1"/>
      <w:numFmt w:val="decimal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682599"/>
    <w:multiLevelType w:val="hybridMultilevel"/>
    <w:tmpl w:val="85BC24C2"/>
    <w:lvl w:ilvl="0" w:tplc="6ABC4522">
      <w:start w:val="1"/>
      <w:numFmt w:val="lowerLetter"/>
      <w:lvlText w:val="%1)"/>
      <w:lvlJc w:val="left"/>
      <w:pPr>
        <w:ind w:left="927" w:hanging="360"/>
      </w:pPr>
      <w:rPr>
        <w:rFonts w:cs="Calibri"/>
        <w:b w:val="0"/>
      </w:r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>
      <w:start w:val="1"/>
      <w:numFmt w:val="lowerRoman"/>
      <w:lvlText w:val="%3."/>
      <w:lvlJc w:val="right"/>
      <w:pPr>
        <w:ind w:left="2367" w:hanging="180"/>
      </w:pPr>
    </w:lvl>
    <w:lvl w:ilvl="3" w:tplc="0816000F">
      <w:start w:val="1"/>
      <w:numFmt w:val="decimal"/>
      <w:lvlText w:val="%4."/>
      <w:lvlJc w:val="left"/>
      <w:pPr>
        <w:ind w:left="3087" w:hanging="360"/>
      </w:pPr>
    </w:lvl>
    <w:lvl w:ilvl="4" w:tplc="08160019">
      <w:start w:val="1"/>
      <w:numFmt w:val="lowerLetter"/>
      <w:lvlText w:val="%5."/>
      <w:lvlJc w:val="left"/>
      <w:pPr>
        <w:ind w:left="3807" w:hanging="360"/>
      </w:pPr>
    </w:lvl>
    <w:lvl w:ilvl="5" w:tplc="0816001B">
      <w:start w:val="1"/>
      <w:numFmt w:val="lowerRoman"/>
      <w:lvlText w:val="%6."/>
      <w:lvlJc w:val="right"/>
      <w:pPr>
        <w:ind w:left="4527" w:hanging="180"/>
      </w:pPr>
    </w:lvl>
    <w:lvl w:ilvl="6" w:tplc="0816000F">
      <w:start w:val="1"/>
      <w:numFmt w:val="decimal"/>
      <w:lvlText w:val="%7."/>
      <w:lvlJc w:val="left"/>
      <w:pPr>
        <w:ind w:left="5247" w:hanging="360"/>
      </w:pPr>
    </w:lvl>
    <w:lvl w:ilvl="7" w:tplc="08160019">
      <w:start w:val="1"/>
      <w:numFmt w:val="lowerLetter"/>
      <w:lvlText w:val="%8."/>
      <w:lvlJc w:val="left"/>
      <w:pPr>
        <w:ind w:left="5967" w:hanging="360"/>
      </w:pPr>
    </w:lvl>
    <w:lvl w:ilvl="8" w:tplc="0816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D14459"/>
    <w:multiLevelType w:val="hybridMultilevel"/>
    <w:tmpl w:val="A754EC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C4FE1"/>
    <w:multiLevelType w:val="hybridMultilevel"/>
    <w:tmpl w:val="784A2E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A613F"/>
    <w:multiLevelType w:val="hybridMultilevel"/>
    <w:tmpl w:val="09FE98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D35AB"/>
    <w:multiLevelType w:val="hybridMultilevel"/>
    <w:tmpl w:val="44C230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D7E23"/>
    <w:multiLevelType w:val="hybridMultilevel"/>
    <w:tmpl w:val="B29CA9B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17103"/>
    <w:multiLevelType w:val="hybridMultilevel"/>
    <w:tmpl w:val="1C14A4DC"/>
    <w:lvl w:ilvl="0" w:tplc="2D14B15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387750"/>
    <w:multiLevelType w:val="hybridMultilevel"/>
    <w:tmpl w:val="F00A35BC"/>
    <w:lvl w:ilvl="0" w:tplc="08160017">
      <w:start w:val="1"/>
      <w:numFmt w:val="lowerLetter"/>
      <w:lvlText w:val="%1)"/>
      <w:lvlJc w:val="left"/>
      <w:pPr>
        <w:ind w:left="-414" w:hanging="360"/>
      </w:pPr>
    </w:lvl>
    <w:lvl w:ilvl="1" w:tplc="08160019" w:tentative="1">
      <w:start w:val="1"/>
      <w:numFmt w:val="lowerLetter"/>
      <w:lvlText w:val="%2."/>
      <w:lvlJc w:val="left"/>
      <w:pPr>
        <w:ind w:left="306" w:hanging="360"/>
      </w:pPr>
    </w:lvl>
    <w:lvl w:ilvl="2" w:tplc="0816001B" w:tentative="1">
      <w:start w:val="1"/>
      <w:numFmt w:val="lowerRoman"/>
      <w:lvlText w:val="%3."/>
      <w:lvlJc w:val="right"/>
      <w:pPr>
        <w:ind w:left="1026" w:hanging="180"/>
      </w:pPr>
    </w:lvl>
    <w:lvl w:ilvl="3" w:tplc="0816000F" w:tentative="1">
      <w:start w:val="1"/>
      <w:numFmt w:val="decimal"/>
      <w:lvlText w:val="%4."/>
      <w:lvlJc w:val="left"/>
      <w:pPr>
        <w:ind w:left="1746" w:hanging="360"/>
      </w:pPr>
    </w:lvl>
    <w:lvl w:ilvl="4" w:tplc="08160019" w:tentative="1">
      <w:start w:val="1"/>
      <w:numFmt w:val="lowerLetter"/>
      <w:lvlText w:val="%5."/>
      <w:lvlJc w:val="left"/>
      <w:pPr>
        <w:ind w:left="2466" w:hanging="360"/>
      </w:pPr>
    </w:lvl>
    <w:lvl w:ilvl="5" w:tplc="0816001B" w:tentative="1">
      <w:start w:val="1"/>
      <w:numFmt w:val="lowerRoman"/>
      <w:lvlText w:val="%6."/>
      <w:lvlJc w:val="right"/>
      <w:pPr>
        <w:ind w:left="3186" w:hanging="180"/>
      </w:pPr>
    </w:lvl>
    <w:lvl w:ilvl="6" w:tplc="0816000F" w:tentative="1">
      <w:start w:val="1"/>
      <w:numFmt w:val="decimal"/>
      <w:lvlText w:val="%7."/>
      <w:lvlJc w:val="left"/>
      <w:pPr>
        <w:ind w:left="3906" w:hanging="360"/>
      </w:pPr>
    </w:lvl>
    <w:lvl w:ilvl="7" w:tplc="08160019" w:tentative="1">
      <w:start w:val="1"/>
      <w:numFmt w:val="lowerLetter"/>
      <w:lvlText w:val="%8."/>
      <w:lvlJc w:val="left"/>
      <w:pPr>
        <w:ind w:left="4626" w:hanging="360"/>
      </w:pPr>
    </w:lvl>
    <w:lvl w:ilvl="8" w:tplc="08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3" w15:restartNumberingAfterBreak="0">
    <w:nsid w:val="6DA356D4"/>
    <w:multiLevelType w:val="hybridMultilevel"/>
    <w:tmpl w:val="B4AA81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E1DC9"/>
    <w:multiLevelType w:val="hybridMultilevel"/>
    <w:tmpl w:val="F842945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E2410"/>
    <w:multiLevelType w:val="hybridMultilevel"/>
    <w:tmpl w:val="CD1C2620"/>
    <w:lvl w:ilvl="0" w:tplc="1722C1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52B26"/>
    <w:multiLevelType w:val="hybridMultilevel"/>
    <w:tmpl w:val="D0BE92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4"/>
  </w:num>
  <w:num w:numId="5">
    <w:abstractNumId w:val="16"/>
  </w:num>
  <w:num w:numId="6">
    <w:abstractNumId w:val="9"/>
  </w:num>
  <w:num w:numId="7">
    <w:abstractNumId w:val="32"/>
  </w:num>
  <w:num w:numId="8">
    <w:abstractNumId w:val="29"/>
  </w:num>
  <w:num w:numId="9">
    <w:abstractNumId w:val="35"/>
  </w:num>
  <w:num w:numId="10">
    <w:abstractNumId w:val="8"/>
  </w:num>
  <w:num w:numId="11">
    <w:abstractNumId w:val="2"/>
  </w:num>
  <w:num w:numId="12">
    <w:abstractNumId w:val="7"/>
  </w:num>
  <w:num w:numId="13">
    <w:abstractNumId w:val="12"/>
  </w:num>
  <w:num w:numId="14">
    <w:abstractNumId w:val="10"/>
  </w:num>
  <w:num w:numId="15">
    <w:abstractNumId w:val="30"/>
  </w:num>
  <w:num w:numId="16">
    <w:abstractNumId w:val="27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A7"/>
    <w:rsid w:val="000052AE"/>
    <w:rsid w:val="00016892"/>
    <w:rsid w:val="00017C2B"/>
    <w:rsid w:val="00017EFB"/>
    <w:rsid w:val="00020C3B"/>
    <w:rsid w:val="00020CB9"/>
    <w:rsid w:val="00031C97"/>
    <w:rsid w:val="00034D09"/>
    <w:rsid w:val="00045AF5"/>
    <w:rsid w:val="0006405A"/>
    <w:rsid w:val="000661A9"/>
    <w:rsid w:val="0007310C"/>
    <w:rsid w:val="00082FCE"/>
    <w:rsid w:val="0008362E"/>
    <w:rsid w:val="0009157E"/>
    <w:rsid w:val="000A3FA3"/>
    <w:rsid w:val="000A518A"/>
    <w:rsid w:val="000A659F"/>
    <w:rsid w:val="000B0A96"/>
    <w:rsid w:val="000D588F"/>
    <w:rsid w:val="000F22BD"/>
    <w:rsid w:val="000F50BE"/>
    <w:rsid w:val="000F615C"/>
    <w:rsid w:val="0011199D"/>
    <w:rsid w:val="00115459"/>
    <w:rsid w:val="00123E9C"/>
    <w:rsid w:val="00132AA8"/>
    <w:rsid w:val="001419E4"/>
    <w:rsid w:val="001463C6"/>
    <w:rsid w:val="00181A66"/>
    <w:rsid w:val="0018246B"/>
    <w:rsid w:val="00191711"/>
    <w:rsid w:val="0019200E"/>
    <w:rsid w:val="00194507"/>
    <w:rsid w:val="00197F2C"/>
    <w:rsid w:val="001A1591"/>
    <w:rsid w:val="001A2053"/>
    <w:rsid w:val="001A453E"/>
    <w:rsid w:val="001A7049"/>
    <w:rsid w:val="001B18AA"/>
    <w:rsid w:val="001C3BEE"/>
    <w:rsid w:val="001C7EC7"/>
    <w:rsid w:val="001D05BC"/>
    <w:rsid w:val="001D1079"/>
    <w:rsid w:val="001E5079"/>
    <w:rsid w:val="001F2B29"/>
    <w:rsid w:val="001F5C8F"/>
    <w:rsid w:val="0020196D"/>
    <w:rsid w:val="00205C4E"/>
    <w:rsid w:val="002148D0"/>
    <w:rsid w:val="00243376"/>
    <w:rsid w:val="00250FAD"/>
    <w:rsid w:val="00253323"/>
    <w:rsid w:val="002546D6"/>
    <w:rsid w:val="00264998"/>
    <w:rsid w:val="002651BF"/>
    <w:rsid w:val="002754CC"/>
    <w:rsid w:val="0028291B"/>
    <w:rsid w:val="0028295D"/>
    <w:rsid w:val="002835CE"/>
    <w:rsid w:val="00294177"/>
    <w:rsid w:val="002941DC"/>
    <w:rsid w:val="002A4846"/>
    <w:rsid w:val="002B2C42"/>
    <w:rsid w:val="002B40C0"/>
    <w:rsid w:val="002B4AFB"/>
    <w:rsid w:val="002D59FF"/>
    <w:rsid w:val="002E1319"/>
    <w:rsid w:val="002F2AB3"/>
    <w:rsid w:val="0030152B"/>
    <w:rsid w:val="00311752"/>
    <w:rsid w:val="003153AB"/>
    <w:rsid w:val="00324CDA"/>
    <w:rsid w:val="00327726"/>
    <w:rsid w:val="00333A1D"/>
    <w:rsid w:val="00347563"/>
    <w:rsid w:val="003559A4"/>
    <w:rsid w:val="00367D5F"/>
    <w:rsid w:val="00377830"/>
    <w:rsid w:val="00383E1A"/>
    <w:rsid w:val="00386570"/>
    <w:rsid w:val="00393099"/>
    <w:rsid w:val="0039472F"/>
    <w:rsid w:val="003A0D57"/>
    <w:rsid w:val="003A5304"/>
    <w:rsid w:val="003A59CB"/>
    <w:rsid w:val="003B1423"/>
    <w:rsid w:val="003C036C"/>
    <w:rsid w:val="003D24E4"/>
    <w:rsid w:val="003E0E0E"/>
    <w:rsid w:val="003E3C89"/>
    <w:rsid w:val="003E40E0"/>
    <w:rsid w:val="003E5145"/>
    <w:rsid w:val="003F088B"/>
    <w:rsid w:val="003F3AA7"/>
    <w:rsid w:val="003F6C9A"/>
    <w:rsid w:val="0040182B"/>
    <w:rsid w:val="00403075"/>
    <w:rsid w:val="00412A11"/>
    <w:rsid w:val="00414009"/>
    <w:rsid w:val="00425992"/>
    <w:rsid w:val="00433482"/>
    <w:rsid w:val="00436FF3"/>
    <w:rsid w:val="00443853"/>
    <w:rsid w:val="00454D5B"/>
    <w:rsid w:val="00457988"/>
    <w:rsid w:val="00463E52"/>
    <w:rsid w:val="00474BA4"/>
    <w:rsid w:val="00476AF3"/>
    <w:rsid w:val="00493171"/>
    <w:rsid w:val="00493633"/>
    <w:rsid w:val="00497CCA"/>
    <w:rsid w:val="004A706C"/>
    <w:rsid w:val="004C4C0C"/>
    <w:rsid w:val="004D2890"/>
    <w:rsid w:val="004D7278"/>
    <w:rsid w:val="004E0C91"/>
    <w:rsid w:val="004E2345"/>
    <w:rsid w:val="00500AFB"/>
    <w:rsid w:val="0050117E"/>
    <w:rsid w:val="00507F5C"/>
    <w:rsid w:val="00515EE7"/>
    <w:rsid w:val="00523A6E"/>
    <w:rsid w:val="00534D5D"/>
    <w:rsid w:val="0053632A"/>
    <w:rsid w:val="005403C0"/>
    <w:rsid w:val="00541AB9"/>
    <w:rsid w:val="00547AF6"/>
    <w:rsid w:val="00552606"/>
    <w:rsid w:val="005660CB"/>
    <w:rsid w:val="005741B6"/>
    <w:rsid w:val="0058288D"/>
    <w:rsid w:val="00584E32"/>
    <w:rsid w:val="00590D83"/>
    <w:rsid w:val="0059142D"/>
    <w:rsid w:val="005A3881"/>
    <w:rsid w:val="005A5902"/>
    <w:rsid w:val="005B0BA5"/>
    <w:rsid w:val="005C1187"/>
    <w:rsid w:val="005C12C8"/>
    <w:rsid w:val="005C63BB"/>
    <w:rsid w:val="005D4644"/>
    <w:rsid w:val="005D4E3C"/>
    <w:rsid w:val="005E0471"/>
    <w:rsid w:val="005E5218"/>
    <w:rsid w:val="005F397A"/>
    <w:rsid w:val="005F4BC4"/>
    <w:rsid w:val="005F4BDE"/>
    <w:rsid w:val="00601A63"/>
    <w:rsid w:val="006021A6"/>
    <w:rsid w:val="00602D2C"/>
    <w:rsid w:val="00605D00"/>
    <w:rsid w:val="00606CF0"/>
    <w:rsid w:val="0062166E"/>
    <w:rsid w:val="00621F99"/>
    <w:rsid w:val="0063054A"/>
    <w:rsid w:val="00634A44"/>
    <w:rsid w:val="00640755"/>
    <w:rsid w:val="00653CAC"/>
    <w:rsid w:val="00673EB1"/>
    <w:rsid w:val="006952D7"/>
    <w:rsid w:val="00696150"/>
    <w:rsid w:val="006A7300"/>
    <w:rsid w:val="006C5A1B"/>
    <w:rsid w:val="006C6555"/>
    <w:rsid w:val="006C7528"/>
    <w:rsid w:val="006E2BB8"/>
    <w:rsid w:val="006F3253"/>
    <w:rsid w:val="00702C31"/>
    <w:rsid w:val="007042DA"/>
    <w:rsid w:val="007100D1"/>
    <w:rsid w:val="00717DE7"/>
    <w:rsid w:val="00720C03"/>
    <w:rsid w:val="0073473C"/>
    <w:rsid w:val="00735C74"/>
    <w:rsid w:val="0073732F"/>
    <w:rsid w:val="007465E1"/>
    <w:rsid w:val="007472CD"/>
    <w:rsid w:val="007513D4"/>
    <w:rsid w:val="00754352"/>
    <w:rsid w:val="00767BE7"/>
    <w:rsid w:val="00773AAB"/>
    <w:rsid w:val="00783A28"/>
    <w:rsid w:val="00786834"/>
    <w:rsid w:val="007A39E0"/>
    <w:rsid w:val="007A6311"/>
    <w:rsid w:val="007C5B2B"/>
    <w:rsid w:val="007C5B33"/>
    <w:rsid w:val="007C6100"/>
    <w:rsid w:val="007D360F"/>
    <w:rsid w:val="007F355D"/>
    <w:rsid w:val="008130C1"/>
    <w:rsid w:val="008131EF"/>
    <w:rsid w:val="00814EF2"/>
    <w:rsid w:val="00824295"/>
    <w:rsid w:val="00826351"/>
    <w:rsid w:val="00835CBC"/>
    <w:rsid w:val="00840DC8"/>
    <w:rsid w:val="008560B1"/>
    <w:rsid w:val="0086586A"/>
    <w:rsid w:val="00866967"/>
    <w:rsid w:val="0087770E"/>
    <w:rsid w:val="00892C0E"/>
    <w:rsid w:val="008C5351"/>
    <w:rsid w:val="008D0178"/>
    <w:rsid w:val="008E2726"/>
    <w:rsid w:val="008E586A"/>
    <w:rsid w:val="008E65AD"/>
    <w:rsid w:val="008F3D79"/>
    <w:rsid w:val="008F5CC0"/>
    <w:rsid w:val="008F6B19"/>
    <w:rsid w:val="00905B50"/>
    <w:rsid w:val="00906376"/>
    <w:rsid w:val="00911798"/>
    <w:rsid w:val="00912EB2"/>
    <w:rsid w:val="009272B9"/>
    <w:rsid w:val="0092742E"/>
    <w:rsid w:val="009277A7"/>
    <w:rsid w:val="00927D7A"/>
    <w:rsid w:val="009306D7"/>
    <w:rsid w:val="0093602D"/>
    <w:rsid w:val="00941893"/>
    <w:rsid w:val="00943C80"/>
    <w:rsid w:val="009474B0"/>
    <w:rsid w:val="009621B8"/>
    <w:rsid w:val="00963B04"/>
    <w:rsid w:val="00963C1F"/>
    <w:rsid w:val="00965E21"/>
    <w:rsid w:val="00970E7B"/>
    <w:rsid w:val="00972F28"/>
    <w:rsid w:val="00983E5F"/>
    <w:rsid w:val="00995B7A"/>
    <w:rsid w:val="009A206D"/>
    <w:rsid w:val="009A64E8"/>
    <w:rsid w:val="009B3513"/>
    <w:rsid w:val="009B42BB"/>
    <w:rsid w:val="009B66B3"/>
    <w:rsid w:val="009C4AC5"/>
    <w:rsid w:val="009D263F"/>
    <w:rsid w:val="009D2CB6"/>
    <w:rsid w:val="009D4BB2"/>
    <w:rsid w:val="009E0004"/>
    <w:rsid w:val="009E4EA4"/>
    <w:rsid w:val="009F11E0"/>
    <w:rsid w:val="009F2127"/>
    <w:rsid w:val="009F7379"/>
    <w:rsid w:val="00A0795E"/>
    <w:rsid w:val="00A15859"/>
    <w:rsid w:val="00A348D2"/>
    <w:rsid w:val="00A40158"/>
    <w:rsid w:val="00A40EE8"/>
    <w:rsid w:val="00A62F44"/>
    <w:rsid w:val="00A66BBC"/>
    <w:rsid w:val="00A67C54"/>
    <w:rsid w:val="00A74E23"/>
    <w:rsid w:val="00A80B52"/>
    <w:rsid w:val="00A8428F"/>
    <w:rsid w:val="00A90794"/>
    <w:rsid w:val="00A963AC"/>
    <w:rsid w:val="00AA051D"/>
    <w:rsid w:val="00AC14C1"/>
    <w:rsid w:val="00AC3595"/>
    <w:rsid w:val="00AE138F"/>
    <w:rsid w:val="00B02188"/>
    <w:rsid w:val="00B065EA"/>
    <w:rsid w:val="00B3739E"/>
    <w:rsid w:val="00B534CE"/>
    <w:rsid w:val="00B53A30"/>
    <w:rsid w:val="00B552D2"/>
    <w:rsid w:val="00B62380"/>
    <w:rsid w:val="00B7061B"/>
    <w:rsid w:val="00B7371E"/>
    <w:rsid w:val="00B752E7"/>
    <w:rsid w:val="00B964EE"/>
    <w:rsid w:val="00B97A49"/>
    <w:rsid w:val="00BA517C"/>
    <w:rsid w:val="00BA6358"/>
    <w:rsid w:val="00BB1CA8"/>
    <w:rsid w:val="00BB3623"/>
    <w:rsid w:val="00BC10AD"/>
    <w:rsid w:val="00BC1F5D"/>
    <w:rsid w:val="00BC2656"/>
    <w:rsid w:val="00BC4D61"/>
    <w:rsid w:val="00BD4CED"/>
    <w:rsid w:val="00BE1E87"/>
    <w:rsid w:val="00BE2323"/>
    <w:rsid w:val="00BF5E05"/>
    <w:rsid w:val="00C02027"/>
    <w:rsid w:val="00C14075"/>
    <w:rsid w:val="00C15086"/>
    <w:rsid w:val="00C15C1D"/>
    <w:rsid w:val="00C267FA"/>
    <w:rsid w:val="00C368F3"/>
    <w:rsid w:val="00C41CD7"/>
    <w:rsid w:val="00C427B9"/>
    <w:rsid w:val="00C46794"/>
    <w:rsid w:val="00C47349"/>
    <w:rsid w:val="00C55297"/>
    <w:rsid w:val="00C56025"/>
    <w:rsid w:val="00C63F1D"/>
    <w:rsid w:val="00C647F8"/>
    <w:rsid w:val="00C65803"/>
    <w:rsid w:val="00C74915"/>
    <w:rsid w:val="00C752B8"/>
    <w:rsid w:val="00C810F5"/>
    <w:rsid w:val="00C84F26"/>
    <w:rsid w:val="00C9050B"/>
    <w:rsid w:val="00CA3E7D"/>
    <w:rsid w:val="00CA4D1E"/>
    <w:rsid w:val="00CA658D"/>
    <w:rsid w:val="00CA6FD7"/>
    <w:rsid w:val="00CB61E2"/>
    <w:rsid w:val="00CB6494"/>
    <w:rsid w:val="00CC346C"/>
    <w:rsid w:val="00CC62D1"/>
    <w:rsid w:val="00CE7FC3"/>
    <w:rsid w:val="00CF653C"/>
    <w:rsid w:val="00D04D89"/>
    <w:rsid w:val="00D07BF2"/>
    <w:rsid w:val="00D11E1C"/>
    <w:rsid w:val="00D209C1"/>
    <w:rsid w:val="00D31D56"/>
    <w:rsid w:val="00D31DF8"/>
    <w:rsid w:val="00D3626C"/>
    <w:rsid w:val="00D36A1E"/>
    <w:rsid w:val="00D401D1"/>
    <w:rsid w:val="00D411B3"/>
    <w:rsid w:val="00D416D7"/>
    <w:rsid w:val="00D41D80"/>
    <w:rsid w:val="00D41DE4"/>
    <w:rsid w:val="00D46ABB"/>
    <w:rsid w:val="00D51FF2"/>
    <w:rsid w:val="00D5364C"/>
    <w:rsid w:val="00D54182"/>
    <w:rsid w:val="00D62C66"/>
    <w:rsid w:val="00D63FD8"/>
    <w:rsid w:val="00D71480"/>
    <w:rsid w:val="00D721D7"/>
    <w:rsid w:val="00D74E81"/>
    <w:rsid w:val="00D816B6"/>
    <w:rsid w:val="00D820D3"/>
    <w:rsid w:val="00D8785A"/>
    <w:rsid w:val="00D9057E"/>
    <w:rsid w:val="00DA7FA1"/>
    <w:rsid w:val="00DB566B"/>
    <w:rsid w:val="00DC19E5"/>
    <w:rsid w:val="00DC2CF8"/>
    <w:rsid w:val="00DE3AD0"/>
    <w:rsid w:val="00DF30AC"/>
    <w:rsid w:val="00DF4BAA"/>
    <w:rsid w:val="00E05517"/>
    <w:rsid w:val="00E16968"/>
    <w:rsid w:val="00E30DA1"/>
    <w:rsid w:val="00E35B61"/>
    <w:rsid w:val="00E36A63"/>
    <w:rsid w:val="00E435FA"/>
    <w:rsid w:val="00E5015C"/>
    <w:rsid w:val="00E5045C"/>
    <w:rsid w:val="00E54726"/>
    <w:rsid w:val="00E5520A"/>
    <w:rsid w:val="00E57CD2"/>
    <w:rsid w:val="00E60E7E"/>
    <w:rsid w:val="00E6228D"/>
    <w:rsid w:val="00E7439D"/>
    <w:rsid w:val="00E96431"/>
    <w:rsid w:val="00EA5C86"/>
    <w:rsid w:val="00EB34AB"/>
    <w:rsid w:val="00EB5AE7"/>
    <w:rsid w:val="00EC79BF"/>
    <w:rsid w:val="00ED0822"/>
    <w:rsid w:val="00ED4964"/>
    <w:rsid w:val="00EF4E7E"/>
    <w:rsid w:val="00F0145A"/>
    <w:rsid w:val="00F01879"/>
    <w:rsid w:val="00F03B84"/>
    <w:rsid w:val="00F05C30"/>
    <w:rsid w:val="00F103F1"/>
    <w:rsid w:val="00F1049C"/>
    <w:rsid w:val="00F15737"/>
    <w:rsid w:val="00F16BB1"/>
    <w:rsid w:val="00F235C9"/>
    <w:rsid w:val="00F25662"/>
    <w:rsid w:val="00F36000"/>
    <w:rsid w:val="00F4155B"/>
    <w:rsid w:val="00F4191B"/>
    <w:rsid w:val="00F429B7"/>
    <w:rsid w:val="00F53E83"/>
    <w:rsid w:val="00F55787"/>
    <w:rsid w:val="00F60538"/>
    <w:rsid w:val="00F618E9"/>
    <w:rsid w:val="00F61E2C"/>
    <w:rsid w:val="00F66C76"/>
    <w:rsid w:val="00F67FCF"/>
    <w:rsid w:val="00F70285"/>
    <w:rsid w:val="00F82B64"/>
    <w:rsid w:val="00F93673"/>
    <w:rsid w:val="00F93698"/>
    <w:rsid w:val="00F94B28"/>
    <w:rsid w:val="00F96DB0"/>
    <w:rsid w:val="00F972B7"/>
    <w:rsid w:val="00FB1057"/>
    <w:rsid w:val="00FB1F44"/>
    <w:rsid w:val="00FC13D1"/>
    <w:rsid w:val="00FC43B9"/>
    <w:rsid w:val="00FD3551"/>
    <w:rsid w:val="00FD7DDB"/>
    <w:rsid w:val="00FE209C"/>
    <w:rsid w:val="00FE363F"/>
    <w:rsid w:val="00FE7E89"/>
    <w:rsid w:val="00FF4CEC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DE348"/>
  <w15:docId w15:val="{62A588CB-72CB-40D1-9BBE-D9269561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27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277A7"/>
  </w:style>
  <w:style w:type="paragraph" w:styleId="Rodap">
    <w:name w:val="footer"/>
    <w:basedOn w:val="Normal"/>
    <w:link w:val="RodapCarter"/>
    <w:uiPriority w:val="99"/>
    <w:unhideWhenUsed/>
    <w:rsid w:val="00927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77A7"/>
  </w:style>
  <w:style w:type="character" w:styleId="Nmerodepgina">
    <w:name w:val="page number"/>
    <w:basedOn w:val="Tipodeletrapredefinidodopargrafo"/>
    <w:uiPriority w:val="99"/>
    <w:rsid w:val="009277A7"/>
    <w:rPr>
      <w:rFonts w:cs="Times New Roman"/>
    </w:rPr>
  </w:style>
  <w:style w:type="paragraph" w:styleId="PargrafodaLista">
    <w:name w:val="List Paragraph"/>
    <w:basedOn w:val="Normal"/>
    <w:link w:val="PargrafodaListaCarter"/>
    <w:uiPriority w:val="34"/>
    <w:qFormat/>
    <w:rsid w:val="009277A7"/>
    <w:pPr>
      <w:ind w:left="720"/>
      <w:contextualSpacing/>
    </w:pPr>
  </w:style>
  <w:style w:type="character" w:customStyle="1" w:styleId="PargrafodaListaCarter">
    <w:name w:val="Parágrafo da Lista Caráter"/>
    <w:link w:val="PargrafodaLista"/>
    <w:uiPriority w:val="34"/>
    <w:locked/>
    <w:rsid w:val="009277A7"/>
  </w:style>
  <w:style w:type="paragraph" w:styleId="Textodebalo">
    <w:name w:val="Balloon Text"/>
    <w:basedOn w:val="Normal"/>
    <w:link w:val="TextodebaloCarter"/>
    <w:uiPriority w:val="99"/>
    <w:semiHidden/>
    <w:unhideWhenUsed/>
    <w:rsid w:val="0047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76A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1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132AA8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6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link w:val="SemEspaamentoCarter"/>
    <w:uiPriority w:val="1"/>
    <w:qFormat/>
    <w:rsid w:val="00DB566B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DB566B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acao@cmc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1B0A-C11A-4FB1-BDF2-674BA031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2696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Carlos</dc:creator>
  <cp:lastModifiedBy>Vilma Pereira</cp:lastModifiedBy>
  <cp:revision>5</cp:revision>
  <cp:lastPrinted>2026-03-17T15:23:00Z</cp:lastPrinted>
  <dcterms:created xsi:type="dcterms:W3CDTF">2026-03-04T12:29:00Z</dcterms:created>
  <dcterms:modified xsi:type="dcterms:W3CDTF">2026-03-17T15:56:00Z</dcterms:modified>
</cp:coreProperties>
</file>